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1F" w:rsidRPr="00D1661F" w:rsidRDefault="00D1661F" w:rsidP="00D1661F">
      <w:pPr>
        <w:shd w:val="clear" w:color="auto" w:fill="FFFFFF"/>
        <w:spacing w:after="75" w:line="360" w:lineRule="atLeast"/>
        <w:outlineLvl w:val="1"/>
        <w:rPr>
          <w:rFonts w:ascii="Arial" w:eastAsia="Times New Roman" w:hAnsi="Arial" w:cs="Arial"/>
          <w:caps/>
          <w:color w:val="000000"/>
          <w:sz w:val="45"/>
          <w:szCs w:val="45"/>
          <w:lang w:eastAsia="ru-RU"/>
        </w:rPr>
      </w:pPr>
      <w:r w:rsidRPr="00D1661F">
        <w:rPr>
          <w:rFonts w:ascii="Arial" w:eastAsia="Times New Roman" w:hAnsi="Arial" w:cs="Arial"/>
          <w:caps/>
          <w:color w:val="000000"/>
          <w:sz w:val="45"/>
          <w:szCs w:val="45"/>
          <w:lang w:eastAsia="ru-RU"/>
        </w:rPr>
        <w:t>КОРРУПЦИЯ ДО НАШЕЙ ЭРЫ</w:t>
      </w:r>
    </w:p>
    <w:p w:rsidR="00D1661F" w:rsidRPr="00D1661F" w:rsidRDefault="00D1661F" w:rsidP="00D1661F">
      <w:pPr>
        <w:shd w:val="clear" w:color="auto" w:fill="FFFFFF"/>
        <w:spacing w:before="75" w:after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528A0D42" wp14:editId="152B879A">
            <wp:extent cx="2857500" cy="1485900"/>
            <wp:effectExtent l="0" t="0" r="0" b="0"/>
            <wp:docPr id="1" name="Рисунок 1" descr="safe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1F" w:rsidRPr="00D1661F" w:rsidRDefault="00D1661F" w:rsidP="00D1661F">
      <w:pPr>
        <w:shd w:val="clear" w:color="auto" w:fill="FFFFFF"/>
        <w:spacing w:before="75" w:after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Коррупция в Древнем Риме как она была. 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Провинциальное управление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Римляне обращали завоёванные ими за пределами Италии территории в провинции. Первоначально под этим словом понимался круг обязанностей или специальная задача, выполняемая должностным лицом. В равном смысле провинцией могли быть судебная юрисдикция, заведование государственной казной или наблюдение за строительством дорог. С расширением границ римской державы под провинциями всё чаще стали понимать военное командование, а также территорию, на которой оно осуществлялось.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Расширение римской державы происходило в форме увеличения количества провинций. </w:t>
      </w: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Начиная с 227 года до нашей эры римляне стали выбирать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двух добавочных преторов для управления захваченными у карфагенян территориями Сицилии и Сардинии. В 197 году до нашей эры, после появления провинций Ближней и Дальней Испаний, количество преторов увеличилось до шести. При Сулле их было уже восемь, а Цезарь довёл число преторов до десяти.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Полномочия наместника провинции определялись как обязанности военачальника, находившегося с войском на оккупированной территории. Вследствие обладания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империем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imperium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pro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consule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pro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praetore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он имел право набирать войско, осуществлять военное командование, назначать себе помощников, командиров и офицеров. Наместник мог вести войну от имени римского народа, заключать перемирие с противником, распределять среди солдат захваченную добычу, притязать на триумф.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римский наместник осуществлял юрисдикцию на территории провинции в отношении проживавших здесь римских граждан, а также в отношении переданных на его рассмотрение тяжб между гражданами и провинциальным населением. Он имел право возбуждать судебный процесс по представленному ему иску, председательствовать в суде, передавать дело на рассмотрение третейских судей, в том числе иностранных, или выносить приговор самостоятельно, осуществлять наказания в отношении осуждённых, а также отпускать на волю рабов.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решения наместник должен был принимать лично. Его помощниками и заместителями на местах являлись легаты и квесторы. Часто эти должности занимали родственники, друзья или приближённые. Роль административного персонала выполняли вольноотпущенники, слуги и рабы, привезённые из Рима. Их численность, как правило, не превышала нескольких десятков человек. Большая часть необходимой работы ложилась на плечи самих провинциалов.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эпоху Республики настоящей системы управления провинциями ещё не существовало. Экономическая эксплуатация и гражданское администрирование находились в зачаточном состоянии, и они отступали на второй план по сравнению с решением чисто военных вопросов. Всеобъемлющий характер полномочий наместника, которые греческие подданные Рима зачастую сравнивали с царской властью, был ограничен кратким сроком пребывания в должности и недостаточной численностью администрации.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Злоупотребления властью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Неограниченный характер властных полномочий, сложная обстановка, требующая принятия немедленных решений, невозможность проведения регулярных консультаций порой выводили римских военачальников в провинции далеко за пределы обычного контроля и опеки со стороны Сената. Это приводило к последствиям, которые едва ли кто-либо мог прогнозировать вначале. Обзор войн, которые римляне вели в Испании и Галлии в течении II–I веков до нашей эры, показывает, что значительная часть инициатив по их развязыванию принадлежала римским военачальникам, которые часто действовали, полагаясь на собственные понимание ситуации, страх и риск. Это создавало огромные возможности для злоупотреблений властью. О многих таких случаях мы информированы </w:t>
      </w: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благодаря сообщениям источников. Характеризуя, например, действия Гая Юлия Цезаря, его биограф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Светоний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сообщает:</w:t>
      </w:r>
    </w:p>
    <w:p w:rsidR="00D1661F" w:rsidRPr="00D1661F" w:rsidRDefault="00D1661F" w:rsidP="007F5EF9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«С этих пор он не упускал ни одного случая для войны, даже </w:t>
      </w: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несправедливой и опасной, и первым нападал как на союзные племена, так и на враждебные и дикие... В Галлии он опустошал капища и храмы богов, полные приношений, и разорял города чаще ради добычи, чем в наказание... Он торговал союзами и царствами: с одного Птолемея он получил около 6000 талантов за себя и за Помпея. А впоследствии лишь неприкрытые грабежи и святотатство позволили ему вынести издержки гражданских войн, триумфов и зрелищ».</w:t>
      </w:r>
      <w:bookmarkStart w:id="0" w:name="_GoBack"/>
      <w:bookmarkEnd w:id="0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1661F" w:rsidRPr="00D1661F" w:rsidRDefault="00D1661F" w:rsidP="00D1661F">
      <w:pPr>
        <w:shd w:val="clear" w:color="auto" w:fill="FFFFFF"/>
        <w:spacing w:before="75" w:after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 wp14:anchorId="41FDE4A1" wp14:editId="4438CB7B">
            <wp:extent cx="3810000" cy="2552700"/>
            <wp:effectExtent l="0" t="0" r="0" b="0"/>
            <wp:docPr id="2" name="Рисунок 2" descr="3-88e273ef91a0468400116d4698b88ddf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88e273ef91a0468400116d4698b88ddf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61F" w:rsidRPr="00D1661F" w:rsidRDefault="00D1661F" w:rsidP="00D1661F">
      <w:pPr>
        <w:shd w:val="clear" w:color="auto" w:fill="FFFFFF"/>
        <w:spacing w:before="75" w:after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Римский военачальник празднует триумф, перед ним шествуют ликторы с фасциями. Рельеф из святилища Фортуны, Национальный археологический музей </w:t>
      </w:r>
      <w:proofErr w:type="spellStart"/>
      <w:r w:rsidRPr="00D1661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Палестрины</w:t>
      </w:r>
      <w:proofErr w:type="spellEnd"/>
    </w:p>
    <w:p w:rsidR="00D1661F" w:rsidRPr="00D1661F" w:rsidRDefault="00D1661F" w:rsidP="00D1661F">
      <w:pPr>
        <w:shd w:val="clear" w:color="auto" w:fill="FFFFFF"/>
        <w:spacing w:before="75" w:after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некоторых из подобных действий известно и со слов самого Цезаря. В 58 году до нашей эры он начал военные действия против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Ариовиста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который к тому моменту формально являлся другом и союзником римского народа. Война не была спровоцирована германцами, и идя на нарушение международного права того времени, Цезарь действовал на собственный страх и риск. Возможно, волнения в его лагере в начале кампании, о которых Цезарь глухо упоминает в своих «Записках...», были вызваны отнюдь не малодушием сопровождавших его молодых аристократов и их страхом перед грозными германцами, а совершенно другими соображениями.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Другой эпизод имел место в 55 году до нашей эры, когда Цезарь напал на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узипетов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тенктеров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время перемирия и перебил сотни тысяч безоружных людей. По результатам этих событий сенат постановил направить специальную комиссию для расследования положения в Галлии. Знаменитый противник Цезаря Марк Порций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Катон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прямо предлагал выдать его германцам, чтобы избавить Рим от наказания богов за клятвопреступления и обратить их гнев на него одного.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Подобные действия вовсе не являлись редкостью в ту эпоху. В 150 году до нашей эры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Сервий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Сульпиций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Гальба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Дальней Испании обещал наделить землёй 8000 </w:t>
      </w: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сдавшихся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ему вместе с женщинами и детьми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лузитанов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Во время переговоров он приказал умертвить безоружных людей, а тех, что выжили, продал в рабство. По возвращению в Рим в следующем году он был за свои действия привлечён к суду. Что было далее, рассказывает Марк Туллий Цицерон: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Гальба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взял и поднял чуть ли не на плечи себе сироту Квинта, сына своего родственника Гая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Сульпиция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Галла, чтобы этим живым воспоминанием о его прославленном отце вызвать у народа слезы, и вверил опеке народа двоих своих маленьких сыновей, объявив при этом (точно делая завещание на поле боя, без оценки и описи имущества), что называют опекуном их сиротства римский народ.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Таким-то путем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Гальба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хоть и вызывал тогда к себе общую злобу и ненависть, все же добился оправдания с помощью подобных трагических приемов».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Доходы от провинций на откуп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Провинции изначально создавались римлянами как подчинённые территории и рассматривались ими в качестве объекта для грабежа и эксплуатации. Земли и имущество местных жителей в момент завоевания переходили в собственность римского народа. За пользование ими прежние хозяева должны были платить подати, от которых освобождались только немногочисленные союзные общины.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Население провинции облагалось рядом прямых и косвенных налогов, обложению подлежали ремесленные промыслы и торговля. Кроме того, двадцатая часть собираемого в провинции урожая хлеба подлежала продаже римским должностным лицам по установленным </w:t>
      </w: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ими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фиксированным ценам. Этот хлеб шёл на </w:t>
      </w: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пропитание размещённых на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территории провинции войск, а в случае отсутствия таковых подлежал продаже на свободном рынке.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Сбор всех налогов Римом передавался на откуп акционерным компаниям, так называемым коллегиям публиканов, которые оптом вносили в </w:t>
      </w: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казну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полученную при предварительной оценке сумму ожидаемых налоговых поступлений, а затем взымали её в полном размере с провинциалов. Осуществляя сбор налогов с плательщиков, публиканы старались не только вернуть затраченные деньги, но и получить собственную прибыль, поэтому они, как правило, допускали в отношении провинциального населения чудовищные злоупотребления посредством произвольного занижения закупочных цен и грабительских процентов по ростовщическим операциям.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Наместники и их помощники, как правило, смотрели на деятельность откупщиков сквозь пальцы, поскольку обычно рассматривали свою должность как способ быстро сколотить состояние за счёт незаконных вознаграждений, вымогательств подарков, поборов и спекуляций. Подобные действия неоднократно вызывали жалобы провинциальных союзников в Сенат, который в 145 году до нашей эры учредил специальный суд по вымогательствам наместников. Хотя по результатам расследований несколько высокопоставленных обвиняемых было признано виновными, суд оказался не в состоянии пресечь злоупотребления на корню.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Римское завоевание Греции ознаменовалось массовым вывозом произведений искусства, которые становились трофеями победителей и объектами самого беззастенчивого грабежа. На этой помпейской фреске I века нашей эры мы видим сцену триумфальной процессии, в которой проносят захваченные у врагов произведения искусства. Национальный музей археологии, Неаполь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Искусство вымогательства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Классическим примером вымогательства и коррупции провинциальных наместников стало дело Гая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исполнявшего обязанности наместника в Сицилии в 73–71 годах до нашей эры. Множество подробностей этого дела сохранилось в обвинительных речах Цицерона, произнесённых во время судебного процесса против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70 году до нашей эры.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Каждая из этих речей отражает определённую сторону преступной деятельности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нарушение правосудия и законности, вымогательства, пытки и казни, хищения произведений искусства у городов и частных лиц, уклонения от уплаты таможенной пошлины при вывозе различных грузов, препятствия при расследовании и так далее. За взятки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освобождал от военного постоя одни провинциальные общины и обременял этой обязанностью другие. Он осуществлял разнообразные махинации с поставками зерна из провинции, произвольно устанавливая закупочные цены и спекулируя на контрактах.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Поскольку в соседней Италии в это время бушевало восстание Спартака,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использовал сложившуюся чрезвычайную ситуацию для вымогательств. Он арестовывал рабов богатых землевладельцев под предлогом, что те будто бы собирались присоединиться к Спартаку или намеревались каким-либо иным способом устроить смуту в провинции. Затем он приговаривал арестованных к казни через распятие и соглашался освободить их за взятку от владельцев. Он также обвинял богатых хозяев в укрывательстве беглых мятежников и, поскольку те якобы отказывались выдать таковых, приговаривал обвиняемых к различным наказаниям, от которых затем их освобождал </w:t>
      </w: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крупные откупные.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Ущерб, нанесённый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Верресом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провинции в течение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трехлётнего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наместничества, оценивался в сумму между 10 и 40 миллионами сестерциев. Притом широкую огласку это дело получило из-за самоуверенного поведения обвиняемого, который ничуть не опасался преследований. По словам Цицерона,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говорил, что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«бояться следует тому, кто награбил лишь столько, что этого может хватить лишь ему одному, сам же он награбил столько, что этого хватит многим...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раз утверждал, что за ним стоит влиятельный человек, полагаясь на которого он может грабить провинцию, а деньги он собирает не для одного себя, он будет очень доволен, если доходы первого года ему удастся обратить в свою пользу; доходы второго года он передаст своим покровителям и защитникам; доходы третьего года, самого выгодного и сулящего наибольшие барыши, он полностью сохранит для судей».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Надежды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оправдались. Доводы Цицерона оказались столь сокрушительны, что обвиняемый отказался от защиты и уехал в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Массалию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где зажил в качестве миллионера в изгнании. В 43 году до нашей эры его имя было внесено в проскрипционные списки Марком Антонием. Не </w:t>
      </w: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дожидаясь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казни,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Веррес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покончил с собой, его имущество было конфисковано.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F5EF9" w:rsidTr="007F5EF9">
        <w:tc>
          <w:tcPr>
            <w:tcW w:w="5210" w:type="dxa"/>
          </w:tcPr>
          <w:p w:rsidR="007F5EF9" w:rsidRDefault="007F5EF9" w:rsidP="00D1661F">
            <w:pPr>
              <w:spacing w:before="75" w:after="7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661F">
              <w:rPr>
                <w:rFonts w:ascii="Arial" w:eastAsia="Times New Roman" w:hAnsi="Arial" w:cs="Arial"/>
                <w:i/>
                <w:iCs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34A5D98B" wp14:editId="59976E5B">
                  <wp:extent cx="2827020" cy="2918460"/>
                  <wp:effectExtent l="0" t="0" r="0" b="0"/>
                  <wp:docPr id="4" name="Рисунок 4" descr="cice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ce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91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7F5EF9" w:rsidRPr="00D1661F" w:rsidRDefault="007F5EF9" w:rsidP="007F5EF9">
            <w:pPr>
              <w:shd w:val="clear" w:color="auto" w:fill="FFFFFF"/>
              <w:spacing w:before="75" w:after="7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1661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br/>
              <w:t>Марк Туллий Цицерон (106–43 г. до н.э.), римский оратор и политический деятель, философ и писатель</w:t>
            </w:r>
          </w:p>
          <w:p w:rsidR="007F5EF9" w:rsidRDefault="007F5EF9" w:rsidP="00D1661F">
            <w:pPr>
              <w:spacing w:before="75" w:after="75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Публиканы в провинциях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Марк Туллий Цицерон, сделавший себе имя на процессах по борьбе с коррупцией, достиг вершины общественного положения. В 66 году до нашей эры он был избран претором, а в 63 году – консулом, что для «нового человека» в это время представлялось почти невозможным. В 51–50 годы Цицерон исполнял обязанности наместника провинции Киликия. Из его писем видно, насколько было сложно даже для честного человека, каким он, безусловно, являлся, устоять перед соблазнами неограниченной власти.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 примечательно одно дело, наглядно показывающее положение в провинциях. В 50 г. до н.э. в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Тарсе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Цицерону нанес визит некий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Скапций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горячо рекомендованный ему Марком Брутом, его близким другом. Обращаясь к проконсулу,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Скапций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просил у него заставить жителей подчинённого ему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Кипрского выплатить занятые ими деньги. Эти деньги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саламинцы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взяли в долг несколько лет назад </w:t>
      </w:r>
      <w:proofErr w:type="gram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</w:t>
      </w:r>
      <w:proofErr w:type="gram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грабительские 48 процентов. Существовало специальное постановление Сената, разрешавшее в данном конкретном случае взымать сумму процента, существенно превышавшую обычную норму. Деньги были переданы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саламинцам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 обеспечение этого постановления.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Выплатить всю сумму город оказался не в состоянии. Чтобы принудить жителей к уплате, предыдущий наместник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Аппий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Клавдий назначил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Скапция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префектом с подчинением ему конного отряда, который был размещён на постой в городе и вводил жителей в новые расходы. Солдаты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Скапция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вели себя нагло и грубо. Однажды они заперли членов городского совета в зале заседаний и держали их в осаде так долго, что некоторые из них умерли.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Теперь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Скапций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явился к Цицерону с просьбой возобновить его назначение командира конного отряда. Цицерон отказал, вызвал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саламинцев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 тяжба развернулась перед его трибуналом.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Скапций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требовал 200 талантов, а граждане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утверждали, что сумма долга составляет 106 талантов. Они заявили, что теперь в состоянии вернуть долг, так как Цицерон существенно сократил так называемый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преторский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налог — сумму, которую города по традиции выплачивали каждому новому наместнику. Так что у них собралось достаточно денег, чтобы выплатить долг, что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саламинцы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предлагали сделать.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Вариант решения спора, предложенный гражданами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Саламина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казался вполне справедливым, однако Цицерон его не утвердил. С правовой точки зрения не всё здесь было ясным, о долгах провинциалов существовало несколько противоречивших друг другу постановлений Сената.</w:t>
      </w:r>
    </w:p>
    <w:p w:rsidR="00D1661F" w:rsidRPr="00D1661F" w:rsidRDefault="00D1661F" w:rsidP="00D1661F">
      <w:pPr>
        <w:shd w:val="clear" w:color="auto" w:fill="FFFFFF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Примешалось, правда, ещё одно соображение, которое, скорее всего, и решило дело.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Скапций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открыл Цицерону, что действует по поручению Брута, который и являлся настоящим кредитором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саламинцев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также обеспечил принятие сенатом соответствующего постановления о долговых процентах. Положение получилось чрезвычайно сложное. Брут был зятем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Аппия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Клавдия, так что, оказывая давление на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саламинцев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прежний наместник защищал свои семейные интересы. Кроме того, Брут был близким другом самого Цицерона, а его мать </w:t>
      </w:r>
      <w:proofErr w:type="spellStart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Сервилия</w:t>
      </w:r>
      <w:proofErr w:type="spellEnd"/>
      <w:r w:rsidRPr="00D166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обещала устроить брак дочери Цицерона, которого тот очень желал. Что ему ещё оставалось делать?</w:t>
      </w:r>
    </w:p>
    <w:p w:rsidR="000E21FD" w:rsidRDefault="000E21FD"/>
    <w:sectPr w:rsidR="000E21FD" w:rsidSect="00877E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F"/>
    <w:rsid w:val="000E21FD"/>
    <w:rsid w:val="001551AB"/>
    <w:rsid w:val="00303577"/>
    <w:rsid w:val="00412735"/>
    <w:rsid w:val="007F5EF9"/>
    <w:rsid w:val="00877ED5"/>
    <w:rsid w:val="00AF418C"/>
    <w:rsid w:val="00BF01AD"/>
    <w:rsid w:val="00D1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verie25.ru/images/news/3-88e273ef91a0468400116d4698b88ddf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doverie25.ru/images/news/safe_image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2019-05-24T12:42:00Z</dcterms:created>
  <dcterms:modified xsi:type="dcterms:W3CDTF">2019-08-13T06:26:00Z</dcterms:modified>
</cp:coreProperties>
</file>