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4" w:rsidRPr="003B4344" w:rsidRDefault="003B4344" w:rsidP="003B4344">
      <w:pPr>
        <w:rPr>
          <w:rFonts w:ascii="Times New Roman" w:hAnsi="Times New Roman" w:cs="Times New Roman"/>
          <w:b/>
          <w:sz w:val="24"/>
          <w:szCs w:val="24"/>
        </w:rPr>
      </w:pPr>
      <w:r w:rsidRPr="003B4344">
        <w:rPr>
          <w:rFonts w:ascii="Times New Roman" w:hAnsi="Times New Roman" w:cs="Times New Roman"/>
          <w:b/>
          <w:sz w:val="24"/>
          <w:szCs w:val="24"/>
        </w:rPr>
        <w:t xml:space="preserve">ДИАГНОСТИКА ИНФЕКЦИИ </w:t>
      </w:r>
      <w:proofErr w:type="spellStart"/>
      <w:r w:rsidRPr="003B4344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Pr="003B4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344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b/>
          <w:sz w:val="24"/>
          <w:szCs w:val="24"/>
        </w:rPr>
        <w:t xml:space="preserve"> у взрослых</w:t>
      </w:r>
    </w:p>
    <w:p w:rsidR="003B4344" w:rsidRPr="00A24A2C" w:rsidRDefault="00987C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 основании</w:t>
      </w:r>
      <w:r w:rsidR="003B4344" w:rsidRPr="00A24A2C">
        <w:rPr>
          <w:rFonts w:ascii="Times New Roman" w:hAnsi="Times New Roman" w:cs="Times New Roman"/>
          <w:sz w:val="20"/>
          <w:szCs w:val="20"/>
        </w:rPr>
        <w:t xml:space="preserve">  Клинических рекомендаций Российской гастроэнтерологической ассоциации по диагностике и лечению инфекции </w:t>
      </w:r>
      <w:proofErr w:type="spellStart"/>
      <w:r w:rsidR="003B4344" w:rsidRPr="00A24A2C">
        <w:rPr>
          <w:rFonts w:ascii="Times New Roman" w:hAnsi="Times New Roman" w:cs="Times New Roman"/>
          <w:sz w:val="20"/>
          <w:szCs w:val="20"/>
        </w:rPr>
        <w:t>Helicobacter</w:t>
      </w:r>
      <w:proofErr w:type="spellEnd"/>
      <w:r w:rsidR="003B4344" w:rsidRPr="00A24A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4344" w:rsidRPr="00A24A2C">
        <w:rPr>
          <w:rFonts w:ascii="Times New Roman" w:hAnsi="Times New Roman" w:cs="Times New Roman"/>
          <w:sz w:val="20"/>
          <w:szCs w:val="20"/>
        </w:rPr>
        <w:t>pylori</w:t>
      </w:r>
      <w:proofErr w:type="spellEnd"/>
      <w:r w:rsidR="003B4344" w:rsidRPr="00A24A2C">
        <w:rPr>
          <w:rFonts w:ascii="Times New Roman" w:hAnsi="Times New Roman" w:cs="Times New Roman"/>
          <w:sz w:val="20"/>
          <w:szCs w:val="20"/>
        </w:rPr>
        <w:t xml:space="preserve"> у взрослых)</w:t>
      </w:r>
    </w:p>
    <w:p w:rsidR="003B4344" w:rsidRPr="003B4344" w:rsidRDefault="003B4344">
      <w:pPr>
        <w:rPr>
          <w:rFonts w:ascii="Times New Roman" w:hAnsi="Times New Roman" w:cs="Times New Roman"/>
          <w:b/>
          <w:sz w:val="24"/>
          <w:szCs w:val="24"/>
        </w:rPr>
      </w:pPr>
      <w:r w:rsidRPr="003B4344">
        <w:rPr>
          <w:rFonts w:ascii="Times New Roman" w:hAnsi="Times New Roman" w:cs="Times New Roman"/>
          <w:b/>
          <w:sz w:val="24"/>
          <w:szCs w:val="24"/>
        </w:rPr>
        <w:t xml:space="preserve">Первичная диагностика </w:t>
      </w:r>
    </w:p>
    <w:p w:rsidR="003B4344" w:rsidRPr="003B4344" w:rsidRDefault="003B4344" w:rsidP="00A24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344">
        <w:rPr>
          <w:rFonts w:ascii="Times New Roman" w:hAnsi="Times New Roman" w:cs="Times New Roman"/>
          <w:sz w:val="24"/>
          <w:szCs w:val="24"/>
        </w:rPr>
        <w:t>Референсными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методами</w:t>
      </w:r>
      <w:r>
        <w:rPr>
          <w:rFonts w:ascii="Times New Roman" w:hAnsi="Times New Roman" w:cs="Times New Roman"/>
          <w:sz w:val="24"/>
          <w:szCs w:val="24"/>
        </w:rPr>
        <w:t xml:space="preserve"> ди</w:t>
      </w:r>
      <w:r w:rsidR="00B23288">
        <w:rPr>
          <w:rFonts w:ascii="Times New Roman" w:hAnsi="Times New Roman" w:cs="Times New Roman"/>
          <w:sz w:val="24"/>
          <w:szCs w:val="24"/>
        </w:rPr>
        <w:t xml:space="preserve">агностики инфекции </w:t>
      </w:r>
      <w:proofErr w:type="spellStart"/>
      <w:r w:rsidR="00B23288" w:rsidRPr="00B23288">
        <w:rPr>
          <w:rFonts w:ascii="Times New Roman" w:hAnsi="Times New Roman" w:cs="Times New Roman"/>
          <w:i/>
          <w:sz w:val="24"/>
          <w:szCs w:val="24"/>
        </w:rPr>
        <w:t>H.</w:t>
      </w:r>
      <w:r w:rsidRPr="00B232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служат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дыхательныи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 тест с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мочевинои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меченнои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 </w:t>
      </w:r>
      <w:r w:rsidRPr="00067EE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23288">
        <w:rPr>
          <w:rFonts w:ascii="Times New Roman" w:hAnsi="Times New Roman" w:cs="Times New Roman"/>
          <w:sz w:val="24"/>
          <w:szCs w:val="24"/>
        </w:rPr>
        <w:t xml:space="preserve">С, и определение антигена </w:t>
      </w:r>
      <w:proofErr w:type="spellStart"/>
      <w:r w:rsidR="00B23288" w:rsidRPr="00B23288">
        <w:rPr>
          <w:rFonts w:ascii="Times New Roman" w:hAnsi="Times New Roman" w:cs="Times New Roman"/>
          <w:i/>
          <w:sz w:val="24"/>
          <w:szCs w:val="24"/>
        </w:rPr>
        <w:t>H.</w:t>
      </w:r>
      <w:r w:rsidRPr="00B232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в кале лабораторным способом.</w:t>
      </w:r>
    </w:p>
    <w:p w:rsidR="003B4344" w:rsidRPr="003B4344" w:rsidRDefault="003B4344" w:rsidP="00A24A2C">
      <w:pPr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 xml:space="preserve">В качестве метода первичной диагностики у лиц, у которых имеются показания к проведению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эзофагогастродуоденоскопии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, может быть использован быстрый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уреазный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тест с получением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биоптата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антрального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отдела и тела желудка.</w:t>
      </w:r>
    </w:p>
    <w:p w:rsidR="003B4344" w:rsidRDefault="003B4344" w:rsidP="00A24A2C">
      <w:pPr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 xml:space="preserve">Необходимо учитывать, что при лечении с применением ИПП могу быть получены ложноотрицательные результаты диагностических тестов, поэтому рекомендуется отменить ИПП не менее чем за 2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.  до проведения диагностических мероприятий. Антибиотики и препараты висмута следует отменить не менее чем за 4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>.  до выполнения диагностических тестов.</w:t>
      </w:r>
    </w:p>
    <w:p w:rsidR="003B4344" w:rsidRPr="003B4344" w:rsidRDefault="003B4344" w:rsidP="00A24A2C">
      <w:pPr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 xml:space="preserve"> Серологические </w:t>
      </w:r>
      <w:r w:rsidR="00B23288">
        <w:rPr>
          <w:rFonts w:ascii="Times New Roman" w:hAnsi="Times New Roman" w:cs="Times New Roman"/>
          <w:sz w:val="24"/>
          <w:szCs w:val="24"/>
        </w:rPr>
        <w:t xml:space="preserve">методы определения антител к </w:t>
      </w:r>
      <w:proofErr w:type="spellStart"/>
      <w:r w:rsidR="00B23288" w:rsidRPr="00B23288">
        <w:rPr>
          <w:rFonts w:ascii="Times New Roman" w:hAnsi="Times New Roman" w:cs="Times New Roman"/>
          <w:i/>
          <w:sz w:val="24"/>
          <w:szCs w:val="24"/>
        </w:rPr>
        <w:t>H.</w:t>
      </w:r>
      <w:r w:rsidRPr="00B232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могут быть назначены в качестве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первичнои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>̆ диагностики инфекции, в том числе в случае снижения степени колонизации бактерией слизистой оболочки желудка, например</w:t>
      </w:r>
      <w:r w:rsidR="00B23288">
        <w:rPr>
          <w:rFonts w:ascii="Times New Roman" w:hAnsi="Times New Roman" w:cs="Times New Roman"/>
          <w:sz w:val="24"/>
          <w:szCs w:val="24"/>
        </w:rPr>
        <w:t>,</w:t>
      </w:r>
      <w:r w:rsidRPr="003B4344">
        <w:rPr>
          <w:rFonts w:ascii="Times New Roman" w:hAnsi="Times New Roman" w:cs="Times New Roman"/>
          <w:sz w:val="24"/>
          <w:szCs w:val="24"/>
        </w:rPr>
        <w:t xml:space="preserve"> после недавнего приема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антисекреторных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или антибактериальных лекарственных средств, при язвенном кровотечении, атрофическом гастрите. </w:t>
      </w:r>
    </w:p>
    <w:p w:rsidR="003B4344" w:rsidRDefault="003B4344" w:rsidP="00A24A2C">
      <w:pPr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  <w:proofErr w:type="spellStart"/>
      <w:r w:rsidRPr="003B4344">
        <w:rPr>
          <w:rFonts w:ascii="Times New Roman" w:hAnsi="Times New Roman" w:cs="Times New Roman"/>
          <w:b/>
          <w:sz w:val="24"/>
          <w:szCs w:val="24"/>
        </w:rPr>
        <w:t>эрадикационнои</w:t>
      </w:r>
      <w:proofErr w:type="spellEnd"/>
      <w:r w:rsidRPr="003B4344">
        <w:rPr>
          <w:rFonts w:ascii="Times New Roman" w:hAnsi="Times New Roman" w:cs="Times New Roman"/>
          <w:b/>
          <w:sz w:val="24"/>
          <w:szCs w:val="24"/>
        </w:rPr>
        <w:t xml:space="preserve">̆ терапии инфекции </w:t>
      </w:r>
      <w:proofErr w:type="spellStart"/>
      <w:r w:rsidR="00B23288" w:rsidRPr="003B4344">
        <w:rPr>
          <w:rFonts w:ascii="Times New Roman" w:hAnsi="Times New Roman" w:cs="Times New Roman"/>
          <w:b/>
          <w:sz w:val="24"/>
          <w:szCs w:val="24"/>
        </w:rPr>
        <w:t>Helicobacter</w:t>
      </w:r>
      <w:proofErr w:type="spellEnd"/>
      <w:r w:rsidR="00B23288" w:rsidRPr="003B4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3288" w:rsidRPr="003B4344">
        <w:rPr>
          <w:rFonts w:ascii="Times New Roman" w:hAnsi="Times New Roman" w:cs="Times New Roman"/>
          <w:b/>
          <w:sz w:val="24"/>
          <w:szCs w:val="24"/>
        </w:rPr>
        <w:t>pylori</w:t>
      </w:r>
      <w:proofErr w:type="spellEnd"/>
    </w:p>
    <w:p w:rsidR="00A24A2C" w:rsidRDefault="003B4344" w:rsidP="00A24A2C">
      <w:pPr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 xml:space="preserve">Оценку необходимо осуществлять с помощью дыхательного теста с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мочевинои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меченнои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 </w:t>
      </w:r>
      <w:r w:rsidRPr="00067EE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23288">
        <w:rPr>
          <w:rFonts w:ascii="Times New Roman" w:hAnsi="Times New Roman" w:cs="Times New Roman"/>
          <w:sz w:val="24"/>
          <w:szCs w:val="24"/>
        </w:rPr>
        <w:t xml:space="preserve">С, или определения антигена </w:t>
      </w:r>
      <w:proofErr w:type="spellStart"/>
      <w:r w:rsidR="00B23288" w:rsidRPr="00B23288">
        <w:rPr>
          <w:rFonts w:ascii="Times New Roman" w:hAnsi="Times New Roman" w:cs="Times New Roman"/>
          <w:i/>
          <w:sz w:val="24"/>
          <w:szCs w:val="24"/>
        </w:rPr>
        <w:t>H.</w:t>
      </w:r>
      <w:r w:rsidRPr="00B232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в кале лабораторным способом не ранее чем через 4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. после окончания курса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антигеликобактернои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 терапии либо после окончания лечения </w:t>
      </w:r>
      <w:proofErr w:type="gramStart"/>
      <w:r w:rsidRPr="003B4344">
        <w:rPr>
          <w:rFonts w:ascii="Times New Roman" w:hAnsi="Times New Roman" w:cs="Times New Roman"/>
          <w:sz w:val="24"/>
          <w:szCs w:val="24"/>
        </w:rPr>
        <w:t>сопутствующих</w:t>
      </w:r>
      <w:proofErr w:type="gramEnd"/>
      <w:r w:rsidRPr="003B4344">
        <w:rPr>
          <w:rFonts w:ascii="Times New Roman" w:hAnsi="Times New Roman" w:cs="Times New Roman"/>
          <w:sz w:val="24"/>
          <w:szCs w:val="24"/>
        </w:rPr>
        <w:t xml:space="preserve"> заболеваний любыми антибиотиками, препаратом висмута или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антисекреторными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средствами. </w:t>
      </w:r>
      <w:r w:rsidR="00A24A2C">
        <w:rPr>
          <w:rFonts w:ascii="Times New Roman" w:hAnsi="Times New Roman" w:cs="Times New Roman"/>
          <w:sz w:val="24"/>
          <w:szCs w:val="24"/>
        </w:rPr>
        <w:t xml:space="preserve"> </w:t>
      </w:r>
      <w:r w:rsidRPr="003B4344">
        <w:rPr>
          <w:rFonts w:ascii="Times New Roman" w:hAnsi="Times New Roman" w:cs="Times New Roman"/>
          <w:sz w:val="24"/>
          <w:szCs w:val="24"/>
        </w:rPr>
        <w:t>Серологические методы опр</w:t>
      </w:r>
      <w:r w:rsidR="00B23288">
        <w:rPr>
          <w:rFonts w:ascii="Times New Roman" w:hAnsi="Times New Roman" w:cs="Times New Roman"/>
          <w:sz w:val="24"/>
          <w:szCs w:val="24"/>
        </w:rPr>
        <w:t xml:space="preserve">еделения антител к </w:t>
      </w:r>
      <w:proofErr w:type="spellStart"/>
      <w:r w:rsidR="00B23288" w:rsidRPr="00B23288">
        <w:rPr>
          <w:rFonts w:ascii="Times New Roman" w:hAnsi="Times New Roman" w:cs="Times New Roman"/>
          <w:i/>
          <w:sz w:val="24"/>
          <w:szCs w:val="24"/>
        </w:rPr>
        <w:t>H.</w:t>
      </w:r>
      <w:r w:rsidRPr="00B232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B4344">
        <w:rPr>
          <w:rFonts w:ascii="Times New Roman" w:hAnsi="Times New Roman" w:cs="Times New Roman"/>
          <w:sz w:val="24"/>
          <w:szCs w:val="24"/>
        </w:rPr>
        <w:t>этои</w:t>
      </w:r>
      <w:proofErr w:type="spellEnd"/>
      <w:r w:rsidRPr="003B4344">
        <w:rPr>
          <w:rFonts w:ascii="Times New Roman" w:hAnsi="Times New Roman" w:cs="Times New Roman"/>
          <w:sz w:val="24"/>
          <w:szCs w:val="24"/>
        </w:rPr>
        <w:t xml:space="preserve">̆ ситуации не применяют. </w:t>
      </w:r>
    </w:p>
    <w:p w:rsidR="00A24A2C" w:rsidRDefault="00A24A2C" w:rsidP="00A24A2C">
      <w:pPr>
        <w:rPr>
          <w:rFonts w:ascii="Times New Roman" w:hAnsi="Times New Roman" w:cs="Times New Roman"/>
          <w:sz w:val="24"/>
          <w:szCs w:val="24"/>
        </w:rPr>
      </w:pPr>
    </w:p>
    <w:p w:rsidR="003B4344" w:rsidRPr="00F7581B" w:rsidRDefault="00F7581B" w:rsidP="00F7581B">
      <w:pPr>
        <w:jc w:val="center"/>
        <w:rPr>
          <w:rFonts w:ascii="Times New Roman" w:hAnsi="Times New Roman" w:cs="Times New Roman"/>
          <w:b/>
        </w:rPr>
      </w:pPr>
      <w:r w:rsidRPr="00F7581B">
        <w:rPr>
          <w:rFonts w:ascii="Times New Roman" w:hAnsi="Times New Roman" w:cs="Times New Roman"/>
          <w:b/>
        </w:rPr>
        <w:t>ДИАГНОСТИКА</w:t>
      </w:r>
    </w:p>
    <w:tbl>
      <w:tblPr>
        <w:tblStyle w:val="a3"/>
        <w:tblW w:w="0" w:type="auto"/>
        <w:tblLook w:val="04A0"/>
      </w:tblPr>
      <w:tblGrid>
        <w:gridCol w:w="2518"/>
        <w:gridCol w:w="7620"/>
      </w:tblGrid>
      <w:tr w:rsidR="003B4344" w:rsidTr="003B4344">
        <w:tc>
          <w:tcPr>
            <w:tcW w:w="2518" w:type="dxa"/>
          </w:tcPr>
          <w:p w:rsidR="003B4344" w:rsidRPr="00B23288" w:rsidRDefault="003B4344" w:rsidP="003B43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3288">
              <w:rPr>
                <w:rFonts w:ascii="Times New Roman" w:hAnsi="Times New Roman" w:cs="Times New Roman"/>
                <w:b/>
                <w:i/>
              </w:rPr>
              <w:t>Диагностические методы</w:t>
            </w:r>
          </w:p>
        </w:tc>
        <w:tc>
          <w:tcPr>
            <w:tcW w:w="7620" w:type="dxa"/>
          </w:tcPr>
          <w:p w:rsidR="003B4344" w:rsidRPr="00B23288" w:rsidRDefault="003B4344" w:rsidP="003B43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3288">
              <w:rPr>
                <w:rFonts w:ascii="Times New Roman" w:hAnsi="Times New Roman" w:cs="Times New Roman"/>
                <w:b/>
                <w:i/>
              </w:rPr>
              <w:t>Комментарии</w:t>
            </w:r>
          </w:p>
        </w:tc>
      </w:tr>
      <w:tr w:rsidR="003B4344" w:rsidTr="003B4344">
        <w:tc>
          <w:tcPr>
            <w:tcW w:w="2518" w:type="dxa"/>
          </w:tcPr>
          <w:p w:rsidR="003B4344" w:rsidRPr="003B4344" w:rsidRDefault="00067EE7" w:rsidP="003B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 w:rsidR="003B4344" w:rsidRPr="003B434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анализ крови  </w:t>
            </w:r>
            <w:proofErr w:type="gramStart"/>
            <w:r w:rsidR="003B4344" w:rsidRPr="003B43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3B4344" w:rsidRPr="003B4344">
              <w:rPr>
                <w:rFonts w:ascii="Times New Roman" w:hAnsi="Times New Roman" w:cs="Times New Roman"/>
                <w:sz w:val="24"/>
                <w:szCs w:val="24"/>
              </w:rPr>
              <w:t xml:space="preserve">нтитела к </w:t>
            </w:r>
            <w:proofErr w:type="spellStart"/>
            <w:r w:rsidR="00B23288"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H.</w:t>
            </w:r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3B4344"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ylori</w:t>
            </w:r>
            <w:proofErr w:type="spellEnd"/>
            <w:r w:rsidR="003B4344" w:rsidRPr="003B4344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="003B4344" w:rsidRPr="003B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</w:p>
        </w:tc>
        <w:tc>
          <w:tcPr>
            <w:tcW w:w="7620" w:type="dxa"/>
          </w:tcPr>
          <w:p w:rsidR="003B4344" w:rsidRPr="003B4344" w:rsidRDefault="003B4344" w:rsidP="000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назначаться в качестве первичной диагностики</w:t>
            </w:r>
            <w:r w:rsidR="00067EE7">
              <w:rPr>
                <w:rFonts w:ascii="Times New Roman" w:hAnsi="Times New Roman" w:cs="Times New Roman"/>
                <w:sz w:val="24"/>
                <w:szCs w:val="24"/>
              </w:rPr>
              <w:t xml:space="preserve">. Возможны ложноотрицательные результаты из-за иммунологической некомпетентности и ранней стадии инфицирования. После </w:t>
            </w:r>
            <w:proofErr w:type="spellStart"/>
            <w:r w:rsidR="00067EE7">
              <w:rPr>
                <w:rFonts w:ascii="Times New Roman" w:hAnsi="Times New Roman" w:cs="Times New Roman"/>
                <w:sz w:val="24"/>
                <w:szCs w:val="24"/>
              </w:rPr>
              <w:t>эрадикационной</w:t>
            </w:r>
            <w:proofErr w:type="spellEnd"/>
            <w:r w:rsidR="00067EE7">
              <w:rPr>
                <w:rFonts w:ascii="Times New Roman" w:hAnsi="Times New Roman" w:cs="Times New Roman"/>
                <w:sz w:val="24"/>
                <w:szCs w:val="24"/>
              </w:rPr>
              <w:t xml:space="preserve"> терапии титры специфических антител могут возвращаться к нормальным значениям в течение 6-12 мес., что исключает возможность использования для контроля эффекта </w:t>
            </w:r>
            <w:proofErr w:type="spellStart"/>
            <w:r w:rsidR="00067EE7">
              <w:rPr>
                <w:rFonts w:ascii="Times New Roman" w:hAnsi="Times New Roman" w:cs="Times New Roman"/>
                <w:sz w:val="24"/>
                <w:szCs w:val="24"/>
              </w:rPr>
              <w:t>эрадикации</w:t>
            </w:r>
            <w:proofErr w:type="spellEnd"/>
            <w:r w:rsidR="00067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344" w:rsidTr="003B4344">
        <w:tc>
          <w:tcPr>
            <w:tcW w:w="2518" w:type="dxa"/>
          </w:tcPr>
          <w:p w:rsidR="003B4344" w:rsidRDefault="000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Антиген </w:t>
            </w:r>
            <w:proofErr w:type="spellStart"/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H.рylori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антитела.</w:t>
            </w:r>
          </w:p>
        </w:tc>
        <w:tc>
          <w:tcPr>
            <w:tcW w:w="7620" w:type="dxa"/>
          </w:tcPr>
          <w:p w:rsidR="003B4344" w:rsidRDefault="000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определении антигенов микроорганизма в кале в лабораторных условиях.</w:t>
            </w:r>
          </w:p>
        </w:tc>
      </w:tr>
      <w:tr w:rsidR="003B4344" w:rsidTr="003B4344">
        <w:tc>
          <w:tcPr>
            <w:tcW w:w="2518" w:type="dxa"/>
          </w:tcPr>
          <w:p w:rsidR="003B4344" w:rsidRDefault="0059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уреазный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67EE7">
              <w:rPr>
                <w:rFonts w:ascii="Times New Roman" w:hAnsi="Times New Roman" w:cs="Times New Roman"/>
                <w:sz w:val="24"/>
                <w:szCs w:val="24"/>
              </w:rPr>
              <w:t xml:space="preserve">ыхательный тест </w:t>
            </w:r>
          </w:p>
        </w:tc>
        <w:tc>
          <w:tcPr>
            <w:tcW w:w="7620" w:type="dxa"/>
          </w:tcPr>
          <w:p w:rsidR="003B4344" w:rsidRDefault="0006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Изотопный дыхательный тест: исследуемый принимает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перорально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водой или пищей) мочевину, меченную изотопом углерода (</w:t>
            </w:r>
            <w:r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С). При наличии инфекции </w:t>
            </w:r>
            <w:proofErr w:type="spellStart"/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H.</w:t>
            </w:r>
            <w:proofErr w:type="gramStart"/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ylori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продуцируемая бактерией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расщепляет поступившую в желудок </w:t>
            </w:r>
            <w:r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С-мочевину на аммиак и </w:t>
            </w:r>
            <w:r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С-углекислый газ, который затем всасывается в кровь, попадает в легкие и выводится с выдыхаемым воздухом, изменяя в нем соотношение</w:t>
            </w:r>
            <w:r w:rsidR="000A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424"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="000A142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0A1424"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A1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A1424">
              <w:rPr>
                <w:rFonts w:ascii="Times New Roman" w:hAnsi="Times New Roman" w:cs="Times New Roman"/>
                <w:sz w:val="24"/>
                <w:szCs w:val="24"/>
              </w:rPr>
              <w:t xml:space="preserve">С в сторону увеличения </w:t>
            </w:r>
            <w:r w:rsidR="000A1424" w:rsidRPr="00067E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="000A1424">
              <w:rPr>
                <w:rFonts w:ascii="Times New Roman" w:hAnsi="Times New Roman" w:cs="Times New Roman"/>
                <w:sz w:val="24"/>
                <w:szCs w:val="24"/>
              </w:rPr>
              <w:t>С, которое регистрируется на приборе.</w:t>
            </w:r>
          </w:p>
          <w:p w:rsidR="000A1424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высокочувствтелен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специфичен (90-99%). Возможны ложноотрицательные результаты в течение 1 мес.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344" w:rsidTr="003B4344">
        <w:tc>
          <w:tcPr>
            <w:tcW w:w="2518" w:type="dxa"/>
          </w:tcPr>
          <w:p w:rsidR="003B4344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уреазный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7620" w:type="dxa"/>
          </w:tcPr>
          <w:p w:rsidR="003B4344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уреазной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биоптате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слизистой оболочки желудка при помещении в среду с мочевиной.</w:t>
            </w:r>
          </w:p>
          <w:p w:rsidR="000A1424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Фермент </w:t>
            </w:r>
            <w:proofErr w:type="spellStart"/>
            <w:r w:rsidRPr="00B23288">
              <w:rPr>
                <w:rFonts w:ascii="Times New Roman" w:hAnsi="Times New Roman" w:cs="Times New Roman"/>
                <w:i/>
                <w:sz w:val="24"/>
                <w:szCs w:val="24"/>
              </w:rPr>
              <w:t>H.рylori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превращает мочевину в аммиак и бикарбонат,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чего увеличивается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и меняется цвет на индикаторе. Положительный результат позволяет назначить лечение, отрицательный результат не исключает наличие инфекции. Не рекомендуется для контроля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эрадикации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344" w:rsidTr="003B4344">
        <w:tc>
          <w:tcPr>
            <w:tcW w:w="2518" w:type="dxa"/>
          </w:tcPr>
          <w:p w:rsidR="003B4344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Гистологический метод</w:t>
            </w:r>
          </w:p>
        </w:tc>
        <w:tc>
          <w:tcPr>
            <w:tcW w:w="7620" w:type="dxa"/>
          </w:tcPr>
          <w:p w:rsidR="003B4344" w:rsidRPr="00B23288" w:rsidRDefault="000A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Гистологический метод диагностики инфекции </w:t>
            </w:r>
            <w:proofErr w:type="spellStart"/>
            <w:r w:rsidRPr="003B4344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4344">
              <w:rPr>
                <w:rFonts w:ascii="Times New Roman" w:hAnsi="Times New Roman" w:cs="Times New Roman"/>
                <w:sz w:val="24"/>
                <w:szCs w:val="24"/>
              </w:rPr>
              <w:t>ylori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наиболее изученных методик выявления инфекции. Степень обсемененности слизистой оболочки оценивают при окраске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гастробиопсийного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="00B23288">
              <w:rPr>
                <w:rFonts w:ascii="Times New Roman" w:hAnsi="Times New Roman" w:cs="Times New Roman"/>
                <w:sz w:val="24"/>
                <w:szCs w:val="24"/>
              </w:rPr>
              <w:t>. Основным преимуществом гистологического метода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возможность </w:t>
            </w:r>
            <w:r w:rsidR="00B23288">
              <w:rPr>
                <w:rFonts w:ascii="Times New Roman" w:hAnsi="Times New Roman" w:cs="Times New Roman"/>
                <w:sz w:val="24"/>
                <w:szCs w:val="24"/>
              </w:rPr>
              <w:t xml:space="preserve">оценить морфологическое состояние слизистой оболочки желудка. К недостаткам метода относится длительное время проведения и возможность ложноотрицательного результата. Рекомендовано взятие 5 </w:t>
            </w:r>
            <w:proofErr w:type="spellStart"/>
            <w:r w:rsidR="00B23288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="00B2328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B2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="00B2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4344" w:rsidRDefault="003B4344">
      <w:pPr>
        <w:rPr>
          <w:rFonts w:ascii="Times New Roman" w:hAnsi="Times New Roman" w:cs="Times New Roman"/>
          <w:sz w:val="24"/>
          <w:szCs w:val="24"/>
        </w:rPr>
      </w:pPr>
    </w:p>
    <w:p w:rsidR="006D586A" w:rsidRDefault="006D5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3618239"/>
            <wp:effectExtent l="19050" t="0" r="5080" b="0"/>
            <wp:docPr id="1" name="Рисунок 1" descr="C:\Users\Пользователь\Desktop\-90_160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-90_1600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1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86A" w:rsidRDefault="00F75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6314715"/>
            <wp:effectExtent l="19050" t="0" r="5080" b="0"/>
            <wp:docPr id="3" name="Рисунок 3" descr="C:\Users\Пользователь\Desktop\hell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helli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1B" w:rsidRDefault="00F7581B">
      <w:pPr>
        <w:rPr>
          <w:rFonts w:ascii="Times New Roman" w:hAnsi="Times New Roman" w:cs="Times New Roman"/>
          <w:sz w:val="24"/>
          <w:szCs w:val="24"/>
        </w:rPr>
      </w:pPr>
    </w:p>
    <w:p w:rsidR="00F7581B" w:rsidRPr="003B4344" w:rsidRDefault="00F75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4759952"/>
            <wp:effectExtent l="19050" t="0" r="5080" b="0"/>
            <wp:docPr id="4" name="Рисунок 4" descr="C:\Users\Пользователь\Desktop\20200909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0200909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5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81B" w:rsidRPr="003B4344" w:rsidSect="003B43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56AB"/>
    <w:multiLevelType w:val="hybridMultilevel"/>
    <w:tmpl w:val="59E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4344"/>
    <w:rsid w:val="00067EE7"/>
    <w:rsid w:val="000A1424"/>
    <w:rsid w:val="00200035"/>
    <w:rsid w:val="002B6477"/>
    <w:rsid w:val="003B4344"/>
    <w:rsid w:val="003D2177"/>
    <w:rsid w:val="00490E62"/>
    <w:rsid w:val="0059114A"/>
    <w:rsid w:val="006D586A"/>
    <w:rsid w:val="00987C19"/>
    <w:rsid w:val="00A24A2C"/>
    <w:rsid w:val="00B23288"/>
    <w:rsid w:val="00F7581B"/>
    <w:rsid w:val="00FE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2023-04-18T09:43:00Z</dcterms:created>
  <dcterms:modified xsi:type="dcterms:W3CDTF">2023-04-18T11:15:00Z</dcterms:modified>
</cp:coreProperties>
</file>