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60" w:rsidRPr="00031802" w:rsidRDefault="00177860">
      <w:pPr>
        <w:jc w:val="center"/>
        <w:rPr>
          <w:rFonts w:cs="Times New Roman"/>
        </w:rPr>
      </w:pPr>
      <w:r w:rsidRPr="00031802">
        <w:rPr>
          <w:rFonts w:cs="Times New Roman"/>
          <w:b/>
          <w:color w:val="000000"/>
        </w:rPr>
        <w:br/>
      </w:r>
      <w:r w:rsidRPr="00031802">
        <w:rPr>
          <w:rFonts w:cs="Times New Roman"/>
          <w:b/>
          <w:color w:val="000000"/>
          <w:sz w:val="28"/>
          <w:szCs w:val="28"/>
        </w:rPr>
        <w:t>Миеломная болезнь</w:t>
      </w:r>
      <w:r w:rsidRPr="00031802">
        <w:rPr>
          <w:rFonts w:cs="Times New Roman"/>
        </w:rPr>
        <w:t xml:space="preserve"> </w:t>
      </w:r>
      <w:r w:rsidRPr="00031802">
        <w:rPr>
          <w:rFonts w:cs="Times New Roman"/>
        </w:rPr>
        <w:br/>
      </w:r>
      <w:r w:rsidRPr="00031802">
        <w:rPr>
          <w:rFonts w:cs="Times New Roman"/>
          <w:color w:val="000000"/>
          <w:lang w:val="ru-RU"/>
        </w:rPr>
        <w:t>Проявления миеломной болезни</w: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031802">
        <w:rPr>
          <w:rFonts w:cs="Times New Roman"/>
          <w:color w:val="000000"/>
        </w:rPr>
        <w:t>Миеломная болезнь может длительно протекать бессимптомно, сопровождаясь лишь увеличением СОЭ в общем анализе крови. В дальнейшем появляются слабость, похудание, боли в костях. Внешние проявления могут быть следствием поражения костей, нарушения функции иммунитета, изменений в почках, анемии,</w:t>
      </w:r>
      <w:r w:rsidRPr="00031802">
        <w:rPr>
          <w:rFonts w:cs="Times New Roman"/>
          <w:color w:val="000000"/>
          <w:lang w:val="ru-RU"/>
        </w:rPr>
        <w:t xml:space="preserve"> повышения вязкости</w:t>
      </w:r>
      <w:r w:rsidRPr="00031802">
        <w:rPr>
          <w:rFonts w:cs="Times New Roman"/>
          <w:color w:val="000000"/>
        </w:rPr>
        <w:t xml:space="preserve"> крови.</w: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  <w:lang w:val="ru-RU"/>
        </w:rPr>
      </w:pPr>
      <w:r w:rsidRPr="00031802">
        <w:rPr>
          <w:rFonts w:cs="Times New Roman"/>
          <w:color w:val="000000"/>
        </w:rPr>
        <w:t xml:space="preserve">Боли в костях являются наиболее частым признаком  и отмечаются почти у 70% больных. Боли локализуются в позвоночнике и ребрах, возникают главным образом при движении. Непрекращающиеся локализованные боли обычно указывают на переломы. Разрушение кости при миеломе </w:t>
      </w:r>
      <w:r w:rsidRPr="00031802">
        <w:rPr>
          <w:rFonts w:cs="Times New Roman"/>
          <w:color w:val="000000"/>
          <w:lang w:val="ru-RU"/>
        </w:rPr>
        <w:t>обусловлено разрастанием опухолевого</w:t>
      </w:r>
      <w:r w:rsidRPr="00031802">
        <w:rPr>
          <w:rFonts w:cs="Times New Roman"/>
          <w:color w:val="000000"/>
        </w:rPr>
        <w:t xml:space="preserve"> клона. Разрушение костей приводит к мобилизации кальция из костей и развитию осложнений (тошнота, рвота, сонливость, кома). Оседание позвонков обусловливает появление признаков сдавления спинного мозга. На рентгенограммах выявляют либо очаги разрушения костной ткани, либо общий остеопороз.</w: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031802">
        <w:rPr>
          <w:rFonts w:cs="Times New Roman"/>
          <w:color w:val="000000"/>
        </w:rPr>
        <w:t>Частым признаком миеломной болезни является подверженность больных инфекциям в связи со сниженными показателями иммунной системы. Поражение почек наблюдается более чем у половины больных.</w: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031802">
        <w:rPr>
          <w:rFonts w:cs="Times New Roman"/>
          <w:color w:val="000000"/>
        </w:rPr>
        <w:t>Повышенная вязкость крови обусловливает неврологические симптомы: головную боль, усталость, нарушение зрения, поражение сетчатки глаз. У некоторых больных отмечаются чувство "мурашек", онемения, покалывания в кистях рук и стопах.</w: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031802">
        <w:rPr>
          <w:rFonts w:cs="Times New Roman"/>
          <w:color w:val="000000"/>
        </w:rPr>
        <w:t>В начальной стадии болезни изменения крови могут отсутствовать, но с развитием процесса у 70 % больных развивается нарастающая анемия, связанная с замещением костного мозга опухолевыми клетками и угнетением кроветворения опухолевыми факторами. Иногда анемия является начальным и основным проявлением заболевания.</w: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031802">
        <w:rPr>
          <w:rFonts w:cs="Times New Roman"/>
          <w:color w:val="000000"/>
        </w:rPr>
        <w:t>Классическим признаком миеломной болезни является также резкое и стабильное увеличение СОЭ, порой до 80–90 мм/ч. Количество лейкоцитов и лейкоцитарная формула весьма варьируют, при развернутой картине заболевания возможно уменьшение количества лейкоцитов (нейтрофилов), иногда в крови можно выявить миеломные клетки.</w:t>
      </w:r>
    </w:p>
    <w:p w:rsidR="00177860" w:rsidRPr="00031802" w:rsidRDefault="00177860" w:rsidP="00316084">
      <w:pPr>
        <w:pStyle w:val="Heading21"/>
        <w:widowControl/>
        <w:spacing w:before="0" w:after="0"/>
        <w:jc w:val="both"/>
        <w:rPr>
          <w:rFonts w:cs="Times New Roman"/>
          <w:b w:val="0"/>
          <w:color w:val="000000"/>
          <w:sz w:val="24"/>
          <w:szCs w:val="24"/>
        </w:rPr>
      </w:pPr>
      <w:r w:rsidRPr="00031802">
        <w:rPr>
          <w:rFonts w:cs="Times New Roman"/>
          <w:b w:val="0"/>
          <w:color w:val="000000"/>
          <w:sz w:val="24"/>
          <w:szCs w:val="24"/>
        </w:rPr>
        <w:t>Диагностика миеломной болезни</w: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031802">
        <w:rPr>
          <w:rFonts w:cs="Times New Roman"/>
          <w:color w:val="000000"/>
        </w:rPr>
        <w:t>Для цитологической картины костномозгового пунктата характерно наличие более 10% плазматических (миеломных) клеток, отличающихся большим многообразием структурных особенностей; наиболее специфичны для миеломной болезни атипические клетки типа плазмобластов.</w: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031802">
        <w:rPr>
          <w:rFonts w:cs="Times New Roman"/>
          <w:color w:val="000000"/>
        </w:rPr>
        <w:t>Классической триадой симптомов миеломной болезни является плазмоцитоз костного мозга (более 10%), сывороточный или мочевой М-компонент и остеолитические повреждения. Диагноз можно считать достоверным при выявлении двух первых признаков. Рентгенологические изменения костей имеют дополнительное значение. Исключение составляет экстрамедуллярная миелома, при которой часто вовлекается в процесс лимфоидная ткань носоглотки и околоносовых синусов.</w:t>
      </w:r>
    </w:p>
    <w:p w:rsidR="00177860" w:rsidRPr="00031802" w:rsidRDefault="00177860" w:rsidP="00316084">
      <w:pPr>
        <w:pStyle w:val="Heading21"/>
        <w:widowControl/>
        <w:spacing w:before="0" w:after="0"/>
        <w:jc w:val="both"/>
        <w:rPr>
          <w:rFonts w:cs="Times New Roman"/>
          <w:b w:val="0"/>
          <w:color w:val="000000"/>
          <w:sz w:val="24"/>
          <w:szCs w:val="24"/>
        </w:rPr>
      </w:pPr>
      <w:r w:rsidRPr="00031802">
        <w:rPr>
          <w:rFonts w:cs="Times New Roman"/>
          <w:b w:val="0"/>
          <w:color w:val="000000"/>
          <w:sz w:val="24"/>
          <w:szCs w:val="24"/>
        </w:rPr>
        <w:t>Лечение миеломной болезни</w: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031802">
        <w:rPr>
          <w:rFonts w:cs="Times New Roman"/>
          <w:color w:val="000000"/>
        </w:rPr>
        <w:t>Выбор лечения и его объем зависят от стадии (распространенности) процесса. У 10% больных миеломой наблюдается медленное прогрессирование болезни в течение многих лет, редко требующее противоопухолевой терапии. У больных с солитарной постной плазмоцитомой и экстрамедуллярной миеломой эффективна лучевая локальная терапия. У больных с 1А и 11А стадиями рекомендуется выжидательная тактика, так как у части из них возможна медленно развиваюшаяся форма болезни.</w: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031802">
        <w:rPr>
          <w:rFonts w:cs="Times New Roman"/>
          <w:color w:val="000000"/>
        </w:rPr>
        <w:t>При признаках нарастания опухолевой массы (появление болевого синдрома, анемии, увеличение уровня Р1д) необходимо назначение цитостатиков. Стандартное лечение состоит в применении мелфалана (8 мг/м.кв.), циклофосфамида (200 мг/м.кв. в день), хлорбутина (8 мг/м.кв. в день) в сочетании с преднизолоном (25–60 мг/м.кв. в день) в течение 4–7 дней каждые 4–6 недель. Эффект при использовании этих препаратов примерно одинаковый, возможно развитие перекрестной резистентности. При чувствительности к лечению обычно быстро отмечаются уменьшение болей в костях, снижение уровня кальция в крови, повышение уровня гемоглобина крови; снижение уровня сывороточного М-компонента происходит через 4–6 недель от начала лечения пропорционально уменьшению опухолевой массы. Не существует единого мнения относительно сроков проведения лечения, но, как правило, его продолжают в течение не менее 1–2 лет при условии эффективности.</w: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031802">
        <w:rPr>
          <w:rFonts w:cs="Times New Roman"/>
          <w:color w:val="000000"/>
        </w:rPr>
        <w:t>Кроме цитостатической терапии, проводят лечение, направленное на предупреждение осложнений. Для снижения и профилактики повышенного содержания кальция в крови применяют глюкокортикоиды в сочетании с обильным питьем. Для уменьшения остеопороза назначают препараты витамина Д, кальций и андрогены, для предупреждения поражения почек – аллопуринол при достаточном питьевом режиме. В случае развития острой почечной недостаточности используют плазмаферез вместе с гемодиализом. Плазмаферез может быть средством выбора при синдроме повышенной вязкости крови. Сильные боли в костях могут уменьшиться под влиянием лучевой терапии.</w:t>
      </w:r>
    </w:p>
    <w:p w:rsidR="00177860" w:rsidRPr="00031802" w:rsidRDefault="00177860" w:rsidP="00316084">
      <w:pPr>
        <w:pStyle w:val="Heading21"/>
        <w:widowControl/>
        <w:spacing w:before="0" w:after="0"/>
        <w:jc w:val="both"/>
        <w:rPr>
          <w:rFonts w:cs="Times New Roman"/>
          <w:b w:val="0"/>
          <w:color w:val="000000"/>
          <w:sz w:val="24"/>
          <w:szCs w:val="24"/>
        </w:rPr>
      </w:pPr>
      <w:r w:rsidRPr="00031802">
        <w:rPr>
          <w:rFonts w:cs="Times New Roman"/>
          <w:b w:val="0"/>
          <w:color w:val="000000"/>
          <w:sz w:val="24"/>
          <w:szCs w:val="24"/>
        </w:rPr>
        <w:t>Прогноз при миеломной болезни</w: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031802">
        <w:rPr>
          <w:rFonts w:cs="Times New Roman"/>
          <w:color w:val="000000"/>
        </w:rPr>
        <w:t>Современное лечение продлевает жизнь больных миеломной боленью в среднем до 4 лет вместо 1–2 лет без лечения. Длительность жизни во многом зависит от чувствительности к лечению цитостатическими средствами, больные с первичной резистентностью к лечению имеют среднюю выживаемость менее года. При длительном лечении цитостатическими средствами учащаются случаи развития острых лейкозов (около 2-5%), редко острый лейкоз развивается у нелеченых больных.</w: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031802">
        <w:rPr>
          <w:rFonts w:cs="Times New Roman"/>
          <w:color w:val="000000"/>
        </w:rPr>
        <w:t>Продолжительность жизни больных зависит от стадии, на которой диагностирована опухоль. Причинами смерти могут быть прогрессирование миеломы, почетная недостаточность, сепсис, часть больных умирает от инфаркта миокарда, инсульта и других причин.</w:t>
      </w:r>
    </w:p>
    <w:p w:rsidR="00177860" w:rsidRPr="00031802" w:rsidRDefault="00177860" w:rsidP="00316084">
      <w:pPr>
        <w:pStyle w:val="Heading21"/>
        <w:widowControl/>
        <w:spacing w:before="0" w:after="0"/>
        <w:jc w:val="both"/>
        <w:rPr>
          <w:rFonts w:cs="Times New Roman"/>
          <w:b w:val="0"/>
          <w:color w:val="000000"/>
          <w:sz w:val="24"/>
          <w:szCs w:val="24"/>
        </w:rPr>
      </w:pPr>
      <w:r w:rsidRPr="00031802">
        <w:rPr>
          <w:rFonts w:cs="Times New Roman"/>
          <w:b w:val="0"/>
          <w:color w:val="000000"/>
          <w:sz w:val="24"/>
          <w:szCs w:val="24"/>
        </w:rPr>
        <w:t>Клинические проявления</w: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C53B01">
        <w:rPr>
          <w:rFonts w:cs="Times New Roman"/>
          <w:noProof/>
          <w:color w:val="000000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i1025" type="#_x0000_t75" style="width:112.5pt;height:296.25pt;visibility:visible">
            <v:imagedata r:id="rId4"/>
          </v:shape>
        </w:pic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C53B01">
        <w:rPr>
          <w:rFonts w:cs="Times New Roman"/>
          <w:noProof/>
          <w:color w:val="000000"/>
          <w:lang w:val="ru-RU" w:eastAsia="ru-RU" w:bidi="ar-SA"/>
        </w:rPr>
        <w:pict>
          <v:shape id="Image2" o:spid="_x0000_i1026" type="#_x0000_t75" style="width:10.5pt;height:6.75pt;visibility:visible">
            <v:imagedata r:id="rId5"/>
          </v:shape>
        </w:pict>
      </w:r>
    </w:p>
    <w:p w:rsidR="00177860" w:rsidRPr="00031802" w:rsidRDefault="00177860" w:rsidP="00316084">
      <w:pPr>
        <w:pStyle w:val="BodyText"/>
        <w:widowControl/>
        <w:jc w:val="both"/>
        <w:rPr>
          <w:rFonts w:cs="Times New Roman"/>
          <w:color w:val="000000"/>
        </w:rPr>
      </w:pPr>
      <w:r w:rsidRPr="00031802">
        <w:rPr>
          <w:rFonts w:cs="Times New Roman"/>
          <w:color w:val="000000"/>
        </w:rPr>
        <w:t>Рентгенограмма, демонстрирующая множественные очаги деструкции в костях, обусловленные миеломной болезнью. </w:t>
      </w:r>
      <w:r w:rsidRPr="00031802">
        <w:rPr>
          <w:rFonts w:cs="Times New Roman"/>
          <w:color w:val="000000"/>
          <w:u w:val="single"/>
        </w:rPr>
        <w:t>Патологический перелом</w:t>
      </w:r>
      <w:r w:rsidRPr="00031802">
        <w:rPr>
          <w:rFonts w:cs="Times New Roman"/>
          <w:color w:val="000000"/>
          <w:u w:val="single"/>
          <w:lang w:val="ru-RU"/>
        </w:rPr>
        <w:t xml:space="preserve"> </w:t>
      </w:r>
      <w:r w:rsidRPr="00031802">
        <w:rPr>
          <w:rFonts w:cs="Times New Roman"/>
          <w:color w:val="000000"/>
        </w:rPr>
        <w:t>локтевой кости.</w:t>
      </w:r>
    </w:p>
    <w:p w:rsidR="00177860" w:rsidRDefault="00177860" w:rsidP="001C14E7">
      <w:pPr>
        <w:widowControl/>
        <w:jc w:val="right"/>
        <w:rPr>
          <w:rFonts w:ascii="OpenSansRegular" w:hAnsi="OpenSansRegular"/>
          <w:color w:val="000000"/>
          <w:lang w:val="ru-RU"/>
        </w:rPr>
      </w:pPr>
      <w:r>
        <w:rPr>
          <w:rFonts w:ascii="OpenSansRegular" w:hAnsi="OpenSansRegular"/>
          <w:color w:val="000000"/>
        </w:rPr>
        <w:t>Врач</w:t>
      </w:r>
      <w:r>
        <w:rPr>
          <w:rFonts w:ascii="OpenSansRegular" w:hAnsi="OpenSansRegular"/>
          <w:color w:val="000000"/>
          <w:lang w:val="ru-RU"/>
        </w:rPr>
        <w:t>-</w:t>
      </w:r>
      <w:r w:rsidRPr="00B97B5E">
        <w:rPr>
          <w:rFonts w:ascii="OpenSansRegular" w:hAnsi="OpenSansRegular"/>
          <w:color w:val="000000"/>
        </w:rPr>
        <w:t xml:space="preserve">терапевт </w:t>
      </w:r>
      <w:r>
        <w:rPr>
          <w:rFonts w:ascii="OpenSansRegular" w:hAnsi="OpenSansRegular"/>
          <w:color w:val="000000"/>
          <w:lang w:val="ru-RU"/>
        </w:rPr>
        <w:t>участковый</w:t>
      </w:r>
    </w:p>
    <w:p w:rsidR="00177860" w:rsidRPr="00B97B5E" w:rsidRDefault="00177860" w:rsidP="001C14E7">
      <w:pPr>
        <w:widowControl/>
        <w:jc w:val="right"/>
        <w:rPr>
          <w:rFonts w:ascii="OpenSansRegular" w:hAnsi="OpenSansRegular"/>
          <w:color w:val="000000"/>
        </w:rPr>
      </w:pPr>
      <w:r w:rsidRPr="00B97B5E">
        <w:rPr>
          <w:rFonts w:ascii="OpenSansRegular" w:hAnsi="OpenSansRegular"/>
          <w:color w:val="000000"/>
        </w:rPr>
        <w:t>Поух Е. Л.</w:t>
      </w:r>
    </w:p>
    <w:p w:rsidR="00177860" w:rsidRPr="001C14E7" w:rsidRDefault="00177860" w:rsidP="001C14E7">
      <w:pPr>
        <w:jc w:val="right"/>
      </w:pPr>
    </w:p>
    <w:sectPr w:rsidR="00177860" w:rsidRPr="001C14E7" w:rsidSect="001C14E7">
      <w:pgSz w:w="11905" w:h="16837"/>
      <w:pgMar w:top="567" w:right="1134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E31"/>
    <w:rsid w:val="00031802"/>
    <w:rsid w:val="00177860"/>
    <w:rsid w:val="001C14E7"/>
    <w:rsid w:val="00233E31"/>
    <w:rsid w:val="00316084"/>
    <w:rsid w:val="00747FB4"/>
    <w:rsid w:val="00753A75"/>
    <w:rsid w:val="008676E0"/>
    <w:rsid w:val="00B97B5E"/>
    <w:rsid w:val="00C5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31"/>
    <w:pPr>
      <w:widowControl w:val="0"/>
    </w:pPr>
    <w:rPr>
      <w:kern w:val="2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a"/>
    <w:next w:val="BodyText"/>
    <w:uiPriority w:val="99"/>
    <w:rsid w:val="00233E31"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paragraph" w:customStyle="1" w:styleId="a">
    <w:name w:val="Заголовок"/>
    <w:basedOn w:val="Normal"/>
    <w:next w:val="BodyText"/>
    <w:uiPriority w:val="99"/>
    <w:rsid w:val="00233E31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3E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5645"/>
    <w:rPr>
      <w:kern w:val="2"/>
      <w:sz w:val="24"/>
      <w:szCs w:val="24"/>
      <w:lang w:val="de-DE" w:eastAsia="ja-JP" w:bidi="fa-IR"/>
    </w:rPr>
  </w:style>
  <w:style w:type="paragraph" w:styleId="List">
    <w:name w:val="List"/>
    <w:basedOn w:val="BodyText"/>
    <w:uiPriority w:val="99"/>
    <w:rsid w:val="00233E31"/>
  </w:style>
  <w:style w:type="paragraph" w:customStyle="1" w:styleId="Caption1">
    <w:name w:val="Caption1"/>
    <w:basedOn w:val="Normal"/>
    <w:uiPriority w:val="99"/>
    <w:rsid w:val="00233E31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233E31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747FB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FB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studfiles.net/html/1540/146/html_hQSoDu1CTp.GizG/img-glcL7R.png" TargetMode="External"/><Relationship Id="rId4" Type="http://schemas.openxmlformats.org/officeDocument/2006/relationships/image" Target="https://studfiles.net/html/1540/146/html_hQSoDu1CTp.GizG/img-amWzDY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850</Words>
  <Characters>4848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DVT</cp:lastModifiedBy>
  <cp:revision>4</cp:revision>
  <cp:lastPrinted>2017-12-18T13:44:00Z</cp:lastPrinted>
  <dcterms:created xsi:type="dcterms:W3CDTF">2009-04-16T11:32:00Z</dcterms:created>
  <dcterms:modified xsi:type="dcterms:W3CDTF">2018-12-25T10:05:00Z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