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BF" w:rsidRPr="0078061B" w:rsidRDefault="007113BF" w:rsidP="0078061B">
      <w:pPr>
        <w:pStyle w:val="Heading4"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78061B">
        <w:rPr>
          <w:rFonts w:ascii="Times New Roman" w:hAnsi="Times New Roman"/>
          <w:i w:val="0"/>
          <w:color w:val="auto"/>
          <w:sz w:val="28"/>
          <w:szCs w:val="28"/>
        </w:rPr>
        <w:t>Генная терапия: познакомьтесь с лекарствами будущего.  Генная терапия гемофилии</w:t>
      </w:r>
    </w:p>
    <w:p w:rsidR="007113BF" w:rsidRDefault="007113BF" w:rsidP="003A4BCB">
      <w:pPr>
        <w:pStyle w:val="Heading4"/>
        <w:spacing w:before="0"/>
        <w:ind w:firstLine="708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7113BF" w:rsidRPr="003A4BCB" w:rsidRDefault="007113BF" w:rsidP="003A4BCB">
      <w:pPr>
        <w:pStyle w:val="Heading4"/>
        <w:spacing w:before="0"/>
        <w:ind w:firstLine="708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Г</w:t>
      </w:r>
      <w:r w:rsidRPr="003A4BCB">
        <w:rPr>
          <w:rFonts w:ascii="Times New Roman" w:hAnsi="Times New Roman"/>
          <w:b w:val="0"/>
          <w:i w:val="0"/>
          <w:color w:val="auto"/>
          <w:sz w:val="24"/>
          <w:szCs w:val="24"/>
        </w:rPr>
        <w:t>енная терапия заключается в переносе определенных генов в соматические клетки человека, поскольку изменение генома клеток зародышевой линии в терапевтических или иных целях запрещено в большинстве стран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,</w:t>
      </w:r>
      <w:r w:rsidRPr="003A4BCB">
        <w:rPr>
          <w:rFonts w:ascii="Times New Roman" w:hAnsi="Times New Roman"/>
          <w:b w:val="0"/>
          <w:i w:val="0"/>
          <w:color w:val="auto"/>
          <w:sz w:val="24"/>
          <w:szCs w:val="24"/>
        </w:rPr>
        <w:t>. имеющих соответствующие технологии Поэтому изменения генетической информации при таком лечении не передаются по наследству и затрагивают в основном определенные клетки-мишени в организме.</w:t>
      </w:r>
    </w:p>
    <w:p w:rsidR="007113BF" w:rsidRPr="003A4BCB" w:rsidRDefault="007113BF" w:rsidP="003A4BCB">
      <w:pPr>
        <w:pStyle w:val="Heading4"/>
        <w:spacing w:before="0"/>
        <w:ind w:firstLine="708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3A4BCB">
        <w:rPr>
          <w:rFonts w:ascii="Times New Roman" w:hAnsi="Times New Roman"/>
          <w:b w:val="0"/>
          <w:i w:val="0"/>
          <w:color w:val="auto"/>
          <w:sz w:val="24"/>
          <w:szCs w:val="24"/>
        </w:rPr>
        <w:t>Генная терапия предназначена для введения генетического материала в клетки для компенсации аномальных генов или для получения полноценного протеина.</w:t>
      </w:r>
    </w:p>
    <w:p w:rsidR="007113BF" w:rsidRPr="003A4BCB" w:rsidRDefault="007113BF" w:rsidP="003A4BCB">
      <w:pPr>
        <w:pStyle w:val="Heading4"/>
        <w:spacing w:before="0"/>
        <w:ind w:firstLine="708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3A4BCB">
        <w:rPr>
          <w:rFonts w:ascii="Times New Roman" w:hAnsi="Times New Roman"/>
          <w:b w:val="0"/>
          <w:i w:val="0"/>
          <w:color w:val="auto"/>
          <w:sz w:val="24"/>
          <w:szCs w:val="24"/>
        </w:rPr>
        <w:t>Целью генной терапии генетических заболеваний является долгосрочное выделение  перенесенного гена  и получение недостающего п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олноценного белка.</w:t>
      </w:r>
    </w:p>
    <w:p w:rsidR="007113BF" w:rsidRPr="003A4BCB" w:rsidRDefault="007113BF" w:rsidP="003A4BCB">
      <w:pPr>
        <w:pStyle w:val="Heading4"/>
        <w:spacing w:before="0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3A4BCB">
        <w:rPr>
          <w:rFonts w:ascii="Times New Roman" w:hAnsi="Times New Roman"/>
          <w:b w:val="0"/>
          <w:i w:val="0"/>
          <w:color w:val="auto"/>
          <w:sz w:val="24"/>
          <w:szCs w:val="24"/>
        </w:rPr>
        <w:t>Клинические исследования с испо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льзованием генной терапии начали</w:t>
      </w:r>
      <w:r w:rsidRPr="003A4BCB">
        <w:rPr>
          <w:rFonts w:ascii="Times New Roman" w:hAnsi="Times New Roman"/>
          <w:b w:val="0"/>
          <w:i w:val="0"/>
          <w:color w:val="auto"/>
          <w:sz w:val="24"/>
          <w:szCs w:val="24"/>
        </w:rPr>
        <w:t>сь в 1990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. Проведено </w:t>
      </w:r>
      <w:r w:rsidRPr="003A4BCB">
        <w:rPr>
          <w:rFonts w:ascii="Times New Roman" w:hAnsi="Times New Roman"/>
          <w:b w:val="0"/>
          <w:i w:val="0"/>
          <w:color w:val="auto"/>
          <w:sz w:val="24"/>
          <w:szCs w:val="24"/>
        </w:rPr>
        <w:t>более 2500 клинических исследований для широкого спектра заболеваний, таких как гемофилия, других моногенных заболеваний, сложных нейродегенерати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вных расстройств и в онкологии</w:t>
      </w:r>
      <w:r w:rsidRPr="003A4BCB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</w:p>
    <w:p w:rsidR="007113BF" w:rsidRPr="003A4BCB" w:rsidRDefault="007113BF" w:rsidP="003A4BCB">
      <w:pPr>
        <w:pStyle w:val="Heading4"/>
        <w:spacing w:before="0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3A4BCB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       И так целью генной терапии является восстановление выработки необходимого белка самим организмом, в случае гемофилии А/В это фактор свертывания крови VIII или  IX.</w:t>
      </w:r>
    </w:p>
    <w:p w:rsidR="007113BF" w:rsidRDefault="007113BF" w:rsidP="00865E0D">
      <w:pPr>
        <w:pStyle w:val="Heading4"/>
        <w:spacing w:before="0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12418C">
        <w:rPr>
          <w:rFonts w:ascii="Times New Roman" w:hAnsi="Times New Roman"/>
          <w:b w:val="0"/>
          <w:i w:val="0"/>
          <w:color w:val="auto"/>
          <w:sz w:val="24"/>
          <w:szCs w:val="24"/>
        </w:rPr>
        <w:t>Вначале  необходимая нуклеотидная последовательность гена преобразуется в вектор (средство доставки, зачастую непатогенный вирус). Комплекс вектор/вирус привносит требуемую ДНК-последовательность в клетку-мишень, где она размещается (эписомально), т.е. отдельно от ДНК пациента (вне хромосом), или же интегрируется в ДНК пациента (в хромосомы). Обе формы позволяют считывать генную последовательность нуклеотидов и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преобразовывать</w:t>
      </w:r>
      <w:r w:rsidRPr="0012418C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её в фактор свертывания крови </w:t>
      </w:r>
      <w:r w:rsidRPr="00144635">
        <w:rPr>
          <w:rFonts w:ascii="Times New Roman" w:hAnsi="Times New Roman"/>
          <w:b w:val="0"/>
          <w:i w:val="0"/>
          <w:color w:val="auto"/>
          <w:sz w:val="24"/>
          <w:szCs w:val="24"/>
        </w:rPr>
        <w:t>Векторы ― носители для доставки генов. В большинстве случаев в качестве носителей для доставки генов используют вирусы, чья естественная способность внедрять свой генетический материал в клетки хозяина может быть не только вредна, но и полезна. Но всё не так страшно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, </w:t>
      </w:r>
      <w:r w:rsidRPr="00144635">
        <w:rPr>
          <w:rFonts w:ascii="Times New Roman" w:hAnsi="Times New Roman"/>
          <w:b w:val="0"/>
          <w:i w:val="0"/>
          <w:color w:val="auto"/>
          <w:sz w:val="24"/>
          <w:szCs w:val="24"/>
        </w:rPr>
        <w:t>такие вирусы сначала «препарируют» методами генной инженерии, удаляя большинство отвечающих за вирулентность генов, что не позволяет вирусу бесконтрольно делиться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. Кроме того </w:t>
      </w:r>
      <w:r w:rsidRPr="00144635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освобождает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ся</w:t>
      </w:r>
      <w:r w:rsidRPr="00144635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место для вставки целевого гена, который нужно доставить в клетку. Существуют векторы на основе ретровируса, лентивируса, аденовируса, аденоассоциированого вируса (АА</w:t>
      </w:r>
      <w:r w:rsidRPr="00144635">
        <w:rPr>
          <w:rFonts w:ascii="Times New Roman" w:hAnsi="Times New Roman"/>
          <w:b w:val="0"/>
          <w:i w:val="0"/>
          <w:color w:val="auto"/>
          <w:sz w:val="24"/>
          <w:szCs w:val="24"/>
          <w:lang w:val="en-US"/>
        </w:rPr>
        <w:t>V</w:t>
      </w:r>
      <w:r w:rsidRPr="00144635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) и вируса простого герпеса. </w:t>
      </w:r>
      <w:r w:rsidRPr="00865E0D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Вирусные векторы AAV чаще всего используются для переноса генов благодаря безопасности и простоте генетической модификации со стабильной долгосрочной экспрессией.   </w:t>
      </w:r>
      <w:r w:rsidRPr="00144635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Вирусные векторы AAV  не являются патогенными, но серопозитивность у людей высока.  Гемофилия – один из лучших кандидатов для применения технологий генной терапии. Гемофилия – моногенное заболевание </w:t>
      </w:r>
      <w:r>
        <w:rPr>
          <w:rFonts w:ascii="Times New Roman" w:hAnsi="Times New Roman"/>
          <w:b w:val="0"/>
          <w:i w:val="0"/>
          <w:color w:val="auto"/>
        </w:rPr>
        <w:t xml:space="preserve">(F8/F9 </w:t>
      </w:r>
      <w:r w:rsidRPr="00144635">
        <w:rPr>
          <w:rFonts w:ascii="Times New Roman" w:hAnsi="Times New Roman"/>
          <w:b w:val="0"/>
          <w:i w:val="0"/>
          <w:color w:val="auto"/>
        </w:rPr>
        <w:t>ген)</w:t>
      </w:r>
      <w:r w:rsidRPr="00144635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; </w:t>
      </w:r>
      <w:r w:rsidRPr="00144635">
        <w:rPr>
          <w:rFonts w:ascii="Times New Roman" w:hAnsi="Times New Roman"/>
          <w:b w:val="0"/>
          <w:i w:val="0"/>
          <w:color w:val="auto"/>
        </w:rPr>
        <w:t>только часть клеток печени должна быть зад</w:t>
      </w:r>
      <w:r>
        <w:rPr>
          <w:rFonts w:ascii="Times New Roman" w:hAnsi="Times New Roman"/>
          <w:b w:val="0"/>
          <w:i w:val="0"/>
          <w:color w:val="auto"/>
        </w:rPr>
        <w:t>ействована для выработки FVIII/</w:t>
      </w:r>
      <w:r w:rsidRPr="00144635">
        <w:rPr>
          <w:rFonts w:ascii="Times New Roman" w:hAnsi="Times New Roman"/>
          <w:b w:val="0"/>
          <w:i w:val="0"/>
          <w:color w:val="auto"/>
        </w:rPr>
        <w:t>FIX – растворимых секретируемых белков</w:t>
      </w:r>
      <w:r>
        <w:rPr>
          <w:rFonts w:ascii="Times New Roman" w:hAnsi="Times New Roman"/>
          <w:b w:val="0"/>
          <w:i w:val="0"/>
          <w:color w:val="auto"/>
        </w:rPr>
        <w:t xml:space="preserve">. </w:t>
      </w:r>
      <w:r w:rsidRPr="00144635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Одна инфузия может обеспечить клинически значимый уровень фактора VIII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/</w:t>
      </w:r>
      <w:r w:rsidRPr="00144635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 w:rsidRPr="0012418C">
        <w:rPr>
          <w:rFonts w:ascii="Times New Roman" w:hAnsi="Times New Roman"/>
          <w:b w:val="0"/>
          <w:i w:val="0"/>
          <w:color w:val="auto"/>
          <w:sz w:val="24"/>
          <w:szCs w:val="24"/>
          <w:lang w:val="en-US"/>
        </w:rPr>
        <w:t>IX</w:t>
      </w:r>
      <w:r w:rsidRPr="00144635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в течение длительного периода времени. 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 w:rsidRPr="003A4BCB">
        <w:rPr>
          <w:rFonts w:ascii="Times New Roman" w:hAnsi="Times New Roman"/>
          <w:b w:val="0"/>
          <w:i w:val="0"/>
          <w:color w:val="auto"/>
          <w:sz w:val="24"/>
          <w:szCs w:val="24"/>
        </w:rPr>
        <w:t>Однако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,</w:t>
      </w:r>
      <w:r w:rsidRPr="003A4BCB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п</w:t>
      </w:r>
      <w:r w:rsidRPr="003A4BCB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опуляция пациентов, которым  возможно проведение генной  терапии, составляет лишь небольшую часть от всех пациентов с гемофилией А/В. 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Это взрослые пациенты с тяжелой формой гемофилии, без ингибиторов, серонегативные к АА</w:t>
      </w:r>
      <w:r>
        <w:rPr>
          <w:rFonts w:ascii="Times New Roman" w:hAnsi="Times New Roman"/>
          <w:b w:val="0"/>
          <w:i w:val="0"/>
          <w:color w:val="auto"/>
          <w:sz w:val="24"/>
          <w:szCs w:val="24"/>
          <w:lang w:val="en-US"/>
        </w:rPr>
        <w:t>V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. В настоящее время в мире в</w:t>
      </w:r>
      <w:r w:rsidRPr="003A4BCB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се пациенты с гемофилией А 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составляют около </w:t>
      </w:r>
      <w:r w:rsidRPr="003A4BCB">
        <w:rPr>
          <w:rFonts w:ascii="Times New Roman" w:hAnsi="Times New Roman"/>
          <w:b w:val="0"/>
          <w:i w:val="0"/>
          <w:color w:val="auto"/>
          <w:sz w:val="24"/>
          <w:szCs w:val="24"/>
        </w:rPr>
        <w:t>173,711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человек и только 20% из них могут считаться кандидатами для проведения генной терапии. </w:t>
      </w:r>
    </w:p>
    <w:p w:rsidR="007113BF" w:rsidRPr="009F7505" w:rsidRDefault="007113BF" w:rsidP="003A1540">
      <w:pPr>
        <w:spacing w:after="0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компаниями, </w:t>
      </w:r>
      <w:r w:rsidRPr="009F7505">
        <w:rPr>
          <w:rFonts w:ascii="Times New Roman" w:hAnsi="Times New Roman"/>
          <w:sz w:val="24"/>
          <w:szCs w:val="24"/>
        </w:rPr>
        <w:t xml:space="preserve">ведущими клинические исследования в сфере генной терапии  гемофилии являются:  </w:t>
      </w:r>
      <w:r w:rsidRPr="009F7505">
        <w:rPr>
          <w:rFonts w:ascii="Times New Roman" w:hAnsi="Times New Roman"/>
          <w:bCs/>
          <w:color w:val="000000"/>
          <w:kern w:val="24"/>
          <w:sz w:val="24"/>
          <w:szCs w:val="24"/>
          <w:lang w:val="en-US"/>
        </w:rPr>
        <w:t>Pfizer</w:t>
      </w:r>
      <w:r w:rsidRPr="009F7505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, </w:t>
      </w:r>
      <w:r w:rsidRPr="009F7505">
        <w:rPr>
          <w:rFonts w:ascii="Times New Roman" w:hAnsi="Times New Roman"/>
          <w:bCs/>
          <w:color w:val="000000"/>
          <w:kern w:val="24"/>
          <w:sz w:val="24"/>
          <w:szCs w:val="24"/>
          <w:lang w:val="en-US"/>
        </w:rPr>
        <w:t>Biomarin</w:t>
      </w:r>
      <w:r w:rsidRPr="009F7505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, </w:t>
      </w:r>
      <w:r w:rsidRPr="009F7505">
        <w:rPr>
          <w:rFonts w:ascii="Times New Roman" w:hAnsi="Times New Roman"/>
          <w:bCs/>
          <w:color w:val="000000"/>
          <w:kern w:val="24"/>
          <w:sz w:val="24"/>
          <w:szCs w:val="24"/>
          <w:lang w:val="en-US"/>
        </w:rPr>
        <w:t>UniQure</w:t>
      </w:r>
      <w:r w:rsidRPr="009F7505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. Все исследуемые препараты построены на платформе </w:t>
      </w:r>
      <w:r w:rsidRPr="009F7505">
        <w:rPr>
          <w:rFonts w:ascii="Times New Roman" w:hAnsi="Times New Roman"/>
          <w:bCs/>
          <w:color w:val="000000"/>
          <w:kern w:val="24"/>
          <w:sz w:val="24"/>
          <w:szCs w:val="24"/>
          <w:lang w:val="en-US"/>
        </w:rPr>
        <w:t>AAV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.  </w:t>
      </w:r>
      <w:r w:rsidRPr="009F7505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На этапе доклинических исследований находятся: </w:t>
      </w:r>
    </w:p>
    <w:p w:rsidR="007113BF" w:rsidRPr="009F7505" w:rsidRDefault="007113BF" w:rsidP="003A1540">
      <w:pPr>
        <w:numPr>
          <w:ilvl w:val="2"/>
          <w:numId w:val="2"/>
        </w:numPr>
        <w:spacing w:after="0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9F7505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- </w:t>
      </w:r>
      <w:r w:rsidRPr="009F7505">
        <w:rPr>
          <w:rFonts w:ascii="Times New Roman" w:hAnsi="Times New Roman"/>
          <w:bCs/>
          <w:color w:val="000000"/>
          <w:kern w:val="24"/>
          <w:sz w:val="24"/>
          <w:szCs w:val="24"/>
          <w:lang w:val="en-US"/>
        </w:rPr>
        <w:t>другие векторы (лентивирус),</w:t>
      </w:r>
      <w:r w:rsidRPr="009F7505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</w:t>
      </w:r>
    </w:p>
    <w:p w:rsidR="007113BF" w:rsidRPr="009F7505" w:rsidRDefault="007113BF" w:rsidP="003A1540">
      <w:pPr>
        <w:numPr>
          <w:ilvl w:val="2"/>
          <w:numId w:val="2"/>
        </w:numPr>
        <w:spacing w:after="0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9F7505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- </w:t>
      </w:r>
      <w:r w:rsidRPr="009F7505">
        <w:rPr>
          <w:rFonts w:ascii="Times New Roman" w:hAnsi="Times New Roman"/>
          <w:bCs/>
          <w:color w:val="000000"/>
          <w:kern w:val="24"/>
          <w:sz w:val="24"/>
          <w:szCs w:val="24"/>
          <w:lang w:val="en-US"/>
        </w:rPr>
        <w:t xml:space="preserve">невирусные механизмы переноса генов </w:t>
      </w:r>
    </w:p>
    <w:p w:rsidR="007113BF" w:rsidRDefault="007113BF" w:rsidP="003A1540">
      <w:pPr>
        <w:numPr>
          <w:ilvl w:val="2"/>
          <w:numId w:val="2"/>
        </w:numPr>
        <w:spacing w:after="0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9F7505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- </w:t>
      </w:r>
      <w:r w:rsidRPr="009F7505">
        <w:rPr>
          <w:rFonts w:ascii="Times New Roman" w:hAnsi="Times New Roman"/>
          <w:bCs/>
          <w:color w:val="000000"/>
          <w:kern w:val="24"/>
          <w:sz w:val="24"/>
          <w:szCs w:val="24"/>
          <w:lang w:val="en-US"/>
        </w:rPr>
        <w:t>редактирование генов</w:t>
      </w:r>
      <w:r w:rsidRPr="009F7505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</w:t>
      </w:r>
    </w:p>
    <w:p w:rsidR="007113BF" w:rsidRPr="003A1540" w:rsidRDefault="007113BF" w:rsidP="003A1540">
      <w:pPr>
        <w:pStyle w:val="NormalWeb"/>
        <w:spacing w:before="0" w:beforeAutospacing="0" w:after="0" w:afterAutospacing="0" w:line="276" w:lineRule="auto"/>
        <w:jc w:val="both"/>
        <w:rPr>
          <w:bCs/>
          <w:kern w:val="24"/>
        </w:rPr>
      </w:pPr>
      <w:r w:rsidRPr="003A1540">
        <w:t>Применение разрабатываемого компанией BioMarin препарата генной терапии</w:t>
      </w:r>
      <w:r>
        <w:t xml:space="preserve"> </w:t>
      </w:r>
      <w:r w:rsidRPr="003A1540">
        <w:t>—</w:t>
      </w:r>
      <w:r>
        <w:t xml:space="preserve"> </w:t>
      </w:r>
      <w:r w:rsidRPr="003A1540">
        <w:t>валоктокоджен роксапарвовек (valoctocogeneroxaparvovec)</w:t>
      </w:r>
      <w:r>
        <w:t xml:space="preserve">  </w:t>
      </w:r>
      <w:r w:rsidRPr="003A1540">
        <w:t>в настоящее время изучается у взрослых с гемофилией</w:t>
      </w:r>
      <w:r>
        <w:t xml:space="preserve"> </w:t>
      </w:r>
      <w:r w:rsidRPr="003A1540">
        <w:t>А</w:t>
      </w:r>
      <w:r>
        <w:t>,</w:t>
      </w:r>
      <w:r w:rsidRPr="003A1540">
        <w:t xml:space="preserve"> </w:t>
      </w:r>
      <w:r>
        <w:t xml:space="preserve">с </w:t>
      </w:r>
      <w:r w:rsidRPr="003A1540">
        <w:t>тяжелой</w:t>
      </w:r>
      <w:r>
        <w:t xml:space="preserve"> формой</w:t>
      </w:r>
      <w:r w:rsidRPr="003A1540">
        <w:t>.</w:t>
      </w:r>
      <w:r>
        <w:t xml:space="preserve"> КИ </w:t>
      </w:r>
      <w:r w:rsidRPr="003A1540">
        <w:t>1/2 фазы было начато в 2015г. и включа</w:t>
      </w:r>
      <w:r>
        <w:t xml:space="preserve">ло 15 человек. </w:t>
      </w:r>
      <w:r w:rsidRPr="003A1540">
        <w:t xml:space="preserve">В настоящее время </w:t>
      </w:r>
      <w:r>
        <w:t xml:space="preserve">проводится 3 фаза КИ в 13 странах у 134 пациентов. </w:t>
      </w:r>
      <w:r w:rsidRPr="003A1540">
        <w:t>Компания BioMarin подала заявку на регистрацию препарата  генной терапии валоктокоджен роксапарвовек</w:t>
      </w:r>
      <w:r>
        <w:t xml:space="preserve"> </w:t>
      </w:r>
      <w:r w:rsidRPr="003A1540">
        <w:t>(Biologics License Application, BLA)  для взрослых</w:t>
      </w:r>
      <w:r>
        <w:t xml:space="preserve"> пациентов </w:t>
      </w:r>
      <w:r w:rsidRPr="003A1540">
        <w:t xml:space="preserve"> с гемофилией A в Управление по контролю качества пищевых продуктов и лекарственных средств США (U.S. Foodand DrugAdministration, FDA) 23 декабря 2019г.</w:t>
      </w:r>
      <w:r w:rsidRPr="003A1540">
        <w:br/>
        <w:t xml:space="preserve">Письмо с полным ответом от FDA компания BioMarin получила 18 августа 2020г. FDA </w:t>
      </w:r>
      <w:r>
        <w:t xml:space="preserve">указало,  </w:t>
      </w:r>
      <w:r w:rsidRPr="003A1540">
        <w:t xml:space="preserve"> что заявка не готова к утверждению в существующей на данный момент форме. </w:t>
      </w:r>
      <w:r w:rsidRPr="003A1540">
        <w:rPr>
          <w:bCs/>
        </w:rPr>
        <w:t>FDA не выявило никаких новых проблем безопасности, но рекомендовало компании BioMarin провести исследование фазы 3</w:t>
      </w:r>
      <w:r w:rsidRPr="003A1540">
        <w:t xml:space="preserve"> и представить данные по безопасности и эффективности двухлетнего последующего наблюдения за всеми участниками исследования.</w:t>
      </w:r>
      <w:r>
        <w:t xml:space="preserve"> </w:t>
      </w:r>
      <w:r w:rsidRPr="003A1540">
        <w:rPr>
          <w:bCs/>
        </w:rPr>
        <w:t>FDA присвоило препарату валоктокоджен роксапарвовек статус принципиально нового лекарственного средства и отнесло его к орфанным препаратам</w:t>
      </w:r>
      <w:r>
        <w:rPr>
          <w:bCs/>
        </w:rPr>
        <w:t>.</w:t>
      </w:r>
    </w:p>
    <w:p w:rsidR="007113BF" w:rsidRPr="003A1540" w:rsidRDefault="007113BF" w:rsidP="003A1540">
      <w:pPr>
        <w:spacing w:after="0"/>
        <w:jc w:val="both"/>
        <w:rPr>
          <w:rFonts w:ascii="Times New Roman" w:hAnsi="Times New Roman"/>
          <w:bCs/>
          <w:kern w:val="24"/>
          <w:sz w:val="24"/>
          <w:szCs w:val="24"/>
        </w:rPr>
      </w:pPr>
      <w:r>
        <w:rPr>
          <w:rFonts w:ascii="Times New Roman" w:hAnsi="Times New Roman"/>
          <w:bCs/>
          <w:kern w:val="24"/>
          <w:sz w:val="24"/>
          <w:szCs w:val="24"/>
        </w:rPr>
        <w:t xml:space="preserve">     </w:t>
      </w:r>
      <w:r w:rsidRPr="003A1540">
        <w:rPr>
          <w:rFonts w:ascii="Times New Roman" w:hAnsi="Times New Roman"/>
          <w:bCs/>
          <w:kern w:val="24"/>
          <w:sz w:val="24"/>
          <w:szCs w:val="24"/>
        </w:rPr>
        <w:t xml:space="preserve">Компания «Sangamo Therapeutics» объявила о лечении первого пациента в фазе I/II клинических испытаний по оценке SB-FIX. Это исследование терапии с редактированием гена «ин виво» у пациентов с гемофилией B. В отличие от прочих случаев генотерапии с помощью ААВ, препарат SB-FIX сконструирован с целью точной и необратимой интеграции гена фактора IX в ДНК. </w:t>
      </w:r>
    </w:p>
    <w:p w:rsidR="007113BF" w:rsidRPr="009F7505" w:rsidRDefault="007113BF" w:rsidP="003A1540">
      <w:pPr>
        <w:spacing w:after="0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kern w:val="24"/>
          <w:sz w:val="24"/>
          <w:szCs w:val="24"/>
        </w:rPr>
        <w:t xml:space="preserve">       </w:t>
      </w:r>
      <w:r w:rsidRPr="003A1540">
        <w:rPr>
          <w:rFonts w:ascii="Times New Roman" w:hAnsi="Times New Roman"/>
          <w:bCs/>
          <w:kern w:val="24"/>
          <w:sz w:val="24"/>
          <w:szCs w:val="24"/>
        </w:rPr>
        <w:t>Проект «ГемАкьюр» (HemAcure) – инновационный проект генетической коррекции клеток крови ПсГА  ФVIII с их последующем умножением, выращиванием. Исправленные клетки, вырабатывающие адекватного количества ФVIII вновь пересаживают пациенту в медицинском устройстве, разработанном для терапевтических клеток (мешочек Cell Pouch™). Клетки из такого имплантированного мешочка (искусственного органа) по кровеносным сосудам будут попадать в организм пациента, обеспечивая непрерывное поступление и поддержание ФVIII на устойчивом уровне. Пока разработки находятся</w:t>
      </w:r>
      <w:r w:rsidRPr="009F7505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на самой ранней стадии.</w:t>
      </w:r>
    </w:p>
    <w:p w:rsidR="007113BF" w:rsidRDefault="007113BF" w:rsidP="003A1540">
      <w:pPr>
        <w:spacing w:after="0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       </w:t>
      </w:r>
      <w:r w:rsidRPr="009F7505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Компания «Сигилон Терапьютикс» (Sigilon Therapeutics) также разрабатывает аналогичную стратегию в рамках своей программы SIG-003. </w:t>
      </w:r>
    </w:p>
    <w:p w:rsidR="007113BF" w:rsidRDefault="007113BF" w:rsidP="003A1540">
      <w:pPr>
        <w:spacing w:after="0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7113BF" w:rsidRPr="00144635" w:rsidRDefault="007113BF" w:rsidP="00144635">
      <w:pPr>
        <w:pStyle w:val="Heading4"/>
        <w:spacing w:before="0"/>
        <w:ind w:firstLine="708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</w:p>
    <w:p w:rsidR="007113BF" w:rsidRPr="0012418C" w:rsidRDefault="007113BF" w:rsidP="0012418C">
      <w:pPr>
        <w:pStyle w:val="NormalWeb"/>
        <w:spacing w:before="0" w:beforeAutospacing="0" w:after="0" w:afterAutospacing="0" w:line="276" w:lineRule="auto"/>
        <w:ind w:firstLine="708"/>
        <w:jc w:val="both"/>
      </w:pPr>
    </w:p>
    <w:p w:rsidR="007113BF" w:rsidRPr="0012418C" w:rsidRDefault="007113BF" w:rsidP="001241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13BF" w:rsidRPr="00A34513" w:rsidRDefault="007113BF" w:rsidP="00A34513">
      <w:pPr>
        <w:jc w:val="both"/>
      </w:pPr>
    </w:p>
    <w:p w:rsidR="007113BF" w:rsidRPr="00FF42D0" w:rsidRDefault="007113BF" w:rsidP="00FF42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13BF" w:rsidRDefault="007113BF" w:rsidP="00FF42D0">
      <w:pPr>
        <w:spacing w:after="0"/>
      </w:pPr>
    </w:p>
    <w:sectPr w:rsidR="007113BF" w:rsidSect="002B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90678"/>
    <w:multiLevelType w:val="hybridMultilevel"/>
    <w:tmpl w:val="18A4C98E"/>
    <w:lvl w:ilvl="0" w:tplc="09986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C81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6F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C9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8C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80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307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42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8D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8F26083"/>
    <w:multiLevelType w:val="hybridMultilevel"/>
    <w:tmpl w:val="82DA5C1A"/>
    <w:lvl w:ilvl="0" w:tplc="EDBCD6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88E3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18579E">
      <w:start w:val="9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369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24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E83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4AB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18B7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3069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2D0"/>
    <w:rsid w:val="0012418C"/>
    <w:rsid w:val="00144635"/>
    <w:rsid w:val="00200CCA"/>
    <w:rsid w:val="002B0BCA"/>
    <w:rsid w:val="003A1540"/>
    <w:rsid w:val="003A4BCB"/>
    <w:rsid w:val="004B50F7"/>
    <w:rsid w:val="004E64A8"/>
    <w:rsid w:val="007113BF"/>
    <w:rsid w:val="0078061B"/>
    <w:rsid w:val="007F2EDA"/>
    <w:rsid w:val="00865E0D"/>
    <w:rsid w:val="009F7505"/>
    <w:rsid w:val="00A34513"/>
    <w:rsid w:val="00B12608"/>
    <w:rsid w:val="00D1716C"/>
    <w:rsid w:val="00E74C77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C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FF42D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418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42D0"/>
    <w:rPr>
      <w:rFonts w:ascii="Times New Roman" w:hAnsi="Times New Roman"/>
      <w:b/>
      <w:kern w:val="36"/>
      <w:sz w:val="4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2418C"/>
    <w:rPr>
      <w:rFonts w:ascii="Cambria" w:hAnsi="Cambria"/>
      <w:b/>
      <w:i/>
      <w:color w:val="4F81BD"/>
    </w:rPr>
  </w:style>
  <w:style w:type="character" w:styleId="Hyperlink">
    <w:name w:val="Hyperlink"/>
    <w:basedOn w:val="DefaultParagraphFont"/>
    <w:uiPriority w:val="99"/>
    <w:semiHidden/>
    <w:rsid w:val="00FF42D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345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F750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1319">
          <w:marLeft w:val="1843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320">
          <w:marLeft w:val="1843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32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324">
          <w:marLeft w:val="1843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325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330">
          <w:marLeft w:val="188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33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336">
          <w:marLeft w:val="1843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338">
          <w:marLeft w:val="1843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342">
          <w:marLeft w:val="1843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1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885</Words>
  <Characters>5045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DVT</cp:lastModifiedBy>
  <cp:revision>5</cp:revision>
  <dcterms:created xsi:type="dcterms:W3CDTF">2021-02-10T06:38:00Z</dcterms:created>
  <dcterms:modified xsi:type="dcterms:W3CDTF">2021-02-10T08:17:00Z</dcterms:modified>
</cp:coreProperties>
</file>