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25" w:rsidRPr="00B12366" w:rsidRDefault="00AC1725" w:rsidP="00B12366">
      <w:pPr>
        <w:jc w:val="center"/>
        <w:rPr>
          <w:rFonts w:ascii="Times New Roman" w:hAnsi="Times New Roman"/>
          <w:b/>
          <w:sz w:val="28"/>
          <w:szCs w:val="28"/>
        </w:rPr>
      </w:pPr>
      <w:r w:rsidRPr="00B12366">
        <w:rPr>
          <w:rFonts w:ascii="Times New Roman" w:hAnsi="Times New Roman"/>
          <w:b/>
          <w:sz w:val="28"/>
          <w:szCs w:val="28"/>
        </w:rPr>
        <w:t>Дефицит фактора XIII</w:t>
      </w:r>
    </w:p>
    <w:p w:rsidR="00AC1725" w:rsidRPr="004F4A3F" w:rsidRDefault="00AC1725" w:rsidP="007425BA">
      <w:pPr>
        <w:rPr>
          <w:rFonts w:ascii="Times New Roman" w:hAnsi="Times New Roman"/>
        </w:rPr>
      </w:pPr>
    </w:p>
    <w:p w:rsidR="00AC1725" w:rsidRPr="004F4A3F" w:rsidRDefault="00AC1725" w:rsidP="00B12366">
      <w:pPr>
        <w:ind w:firstLine="180"/>
        <w:jc w:val="both"/>
        <w:rPr>
          <w:rFonts w:ascii="Times New Roman" w:hAnsi="Times New Roman"/>
        </w:rPr>
      </w:pPr>
      <w:r w:rsidRPr="004F4A3F">
        <w:rPr>
          <w:rFonts w:ascii="Times New Roman" w:hAnsi="Times New Roman"/>
        </w:rPr>
        <w:t xml:space="preserve">Впервые данное заболевание было описано в </w:t>
      </w:r>
      <w:smartTag w:uri="urn:schemas-microsoft-com:office:smarttags" w:element="metricconverter">
        <w:smartTagPr>
          <w:attr w:name="ProductID" w:val="1960 г"/>
        </w:smartTagPr>
        <w:r w:rsidRPr="004F4A3F">
          <w:rPr>
            <w:rFonts w:ascii="Times New Roman" w:hAnsi="Times New Roman"/>
          </w:rPr>
          <w:t>1960 г</w:t>
        </w:r>
      </w:smartTag>
      <w:r>
        <w:rPr>
          <w:rFonts w:ascii="Times New Roman" w:hAnsi="Times New Roman"/>
        </w:rPr>
        <w:t>. ученым Duckert и соавторами,</w:t>
      </w:r>
      <w:r w:rsidRPr="004F4A3F">
        <w:rPr>
          <w:rFonts w:ascii="Times New Roman" w:hAnsi="Times New Roman"/>
        </w:rPr>
        <w:t xml:space="preserve"> которыми были выявлены 2 брата с выраженным геморрагическим диатезом, характеризующимся наследственным дефицитом коагуляционного фактора XIII (фибринстабилизирующего фактора, фактора Лаки- Лоранда).  Данное заболевание наследуется аутосомно по неполному рецессивному типу – у гомозигот уровень фактора XIII, как правило, ниже 5% и заболевание протекает тяжело. У гетерозигот довольно часто выявляются легкие и среднетяжелые геморрагические проявления.</w:t>
      </w:r>
    </w:p>
    <w:p w:rsidR="00AC1725" w:rsidRPr="004F4A3F" w:rsidRDefault="00AC1725" w:rsidP="004D07A1">
      <w:pPr>
        <w:jc w:val="both"/>
        <w:rPr>
          <w:rFonts w:ascii="Times New Roman" w:hAnsi="Times New Roman"/>
        </w:rPr>
      </w:pPr>
      <w:r w:rsidRPr="004F4A3F">
        <w:rPr>
          <w:rFonts w:ascii="Times New Roman" w:hAnsi="Times New Roman"/>
        </w:rPr>
        <w:t>Распространенность этого заболевания в популяции невелика, примерно один клинически значимый случай на 2- 5 млн. обследуемых.</w:t>
      </w:r>
    </w:p>
    <w:p w:rsidR="00AC1725" w:rsidRPr="00B12366" w:rsidRDefault="00AC1725" w:rsidP="004D07A1">
      <w:pPr>
        <w:jc w:val="both"/>
        <w:rPr>
          <w:rFonts w:ascii="Times New Roman" w:hAnsi="Times New Roman"/>
          <w:b/>
        </w:rPr>
      </w:pPr>
      <w:r w:rsidRPr="004F4A3F">
        <w:rPr>
          <w:rFonts w:ascii="Times New Roman" w:hAnsi="Times New Roman"/>
        </w:rPr>
        <w:t xml:space="preserve"> </w:t>
      </w:r>
      <w:r w:rsidRPr="00B12366">
        <w:rPr>
          <w:rFonts w:ascii="Times New Roman" w:hAnsi="Times New Roman"/>
          <w:b/>
        </w:rPr>
        <w:t>Клиника</w:t>
      </w:r>
    </w:p>
    <w:p w:rsidR="00AC1725" w:rsidRPr="004F4A3F" w:rsidRDefault="00AC1725" w:rsidP="00B12366">
      <w:pPr>
        <w:ind w:firstLine="180"/>
        <w:jc w:val="both"/>
        <w:rPr>
          <w:rFonts w:ascii="Times New Roman" w:hAnsi="Times New Roman"/>
        </w:rPr>
      </w:pPr>
      <w:r w:rsidRPr="004F4A3F">
        <w:rPr>
          <w:rFonts w:ascii="Times New Roman" w:hAnsi="Times New Roman"/>
        </w:rPr>
        <w:t xml:space="preserve">Пациенты с этим дефектом коагуляции имеют умеренный или тяжелый геморрагический синдром, который часто проявляется уже в первые недели жизни ребёнка. В клинической картине заболевания встречаются кровотечения различной локализации и интенсивности: петехии, экхимозы, макрогематурия и др. В анамнезе больных с глубоким дефицитом могут возникать желудочно- кишечные кровотечения , меноррагии, макрогематурию, а также кровоизлияния в головной мозг, мышцы, забрюшинное пространство. Часто кровотечения развиваются после хирургических вмешательств, травм, родов. При этом нередко развиваются так называемые поздние кровотечения, которые возникают через 12- 72 часов после хирургического вмешательства или травмы. Спонтанных гемартрозов не бывает, их развитие возможно лишь при травматизации. </w:t>
      </w:r>
    </w:p>
    <w:p w:rsidR="00AC1725" w:rsidRPr="004F4A3F" w:rsidRDefault="00AC1725" w:rsidP="00B12366">
      <w:pPr>
        <w:ind w:firstLine="180"/>
        <w:jc w:val="both"/>
        <w:rPr>
          <w:rFonts w:ascii="Times New Roman" w:hAnsi="Times New Roman"/>
        </w:rPr>
      </w:pPr>
      <w:r w:rsidRPr="004F4A3F">
        <w:rPr>
          <w:rFonts w:ascii="Times New Roman" w:hAnsi="Times New Roman"/>
        </w:rPr>
        <w:t>Наиболее часто встречаемым, а также самым первым признаком дефицита фибринстабилизирующего фактора, являются медленное заживление пупочной ранки и кровотечения из нее на протяжении первых 3 недель жизни.</w:t>
      </w:r>
    </w:p>
    <w:p w:rsidR="00AC1725" w:rsidRPr="004F4A3F" w:rsidRDefault="00AC1725" w:rsidP="00B12366">
      <w:pPr>
        <w:ind w:firstLine="180"/>
        <w:jc w:val="both"/>
        <w:rPr>
          <w:rFonts w:ascii="Times New Roman" w:hAnsi="Times New Roman"/>
        </w:rPr>
      </w:pPr>
      <w:r w:rsidRPr="004F4A3F">
        <w:rPr>
          <w:rFonts w:ascii="Times New Roman" w:hAnsi="Times New Roman"/>
        </w:rPr>
        <w:t xml:space="preserve">Для появления геморрагического синдрома, сочетающегося с плохим заживлением ран, необходим достаточно глубокий дефицит ( менее 5%) этого фактора, поэтому при концентрации фактора </w:t>
      </w:r>
      <w:r w:rsidRPr="004F4A3F">
        <w:rPr>
          <w:rFonts w:ascii="Times New Roman" w:hAnsi="Times New Roman"/>
          <w:lang w:val="en-US"/>
        </w:rPr>
        <w:t>XIII</w:t>
      </w:r>
      <w:r w:rsidRPr="004F4A3F">
        <w:rPr>
          <w:rFonts w:ascii="Times New Roman" w:hAnsi="Times New Roman"/>
        </w:rPr>
        <w:t xml:space="preserve"> более 5% спонтанные кровотечения не развиваются и наблюдаются преимущественно посттравматические кровотечения.</w:t>
      </w:r>
    </w:p>
    <w:p w:rsidR="00AC1725" w:rsidRPr="004F4A3F" w:rsidRDefault="00AC1725" w:rsidP="00B12366">
      <w:pPr>
        <w:ind w:firstLine="180"/>
        <w:jc w:val="both"/>
        <w:rPr>
          <w:rFonts w:ascii="Times New Roman" w:hAnsi="Times New Roman"/>
        </w:rPr>
      </w:pPr>
      <w:r w:rsidRPr="004F4A3F">
        <w:rPr>
          <w:rFonts w:ascii="Times New Roman" w:hAnsi="Times New Roman"/>
        </w:rPr>
        <w:t xml:space="preserve">Считается, что для предотвращения кровотечений вполне достаточно уровня фактора </w:t>
      </w:r>
      <w:r w:rsidRPr="004F4A3F">
        <w:rPr>
          <w:rFonts w:ascii="Times New Roman" w:hAnsi="Times New Roman"/>
          <w:lang w:val="en-US"/>
        </w:rPr>
        <w:t>XIII</w:t>
      </w:r>
      <w:r w:rsidRPr="004F4A3F">
        <w:rPr>
          <w:rFonts w:ascii="Times New Roman" w:hAnsi="Times New Roman"/>
        </w:rPr>
        <w:t xml:space="preserve"> в пределах 5-10%.</w:t>
      </w:r>
    </w:p>
    <w:p w:rsidR="00AC1725" w:rsidRPr="00B12366" w:rsidRDefault="00AC1725" w:rsidP="004D07A1">
      <w:pPr>
        <w:jc w:val="both"/>
        <w:rPr>
          <w:rFonts w:ascii="Times New Roman" w:hAnsi="Times New Roman"/>
          <w:b/>
        </w:rPr>
      </w:pPr>
      <w:r w:rsidRPr="00B12366">
        <w:rPr>
          <w:rFonts w:ascii="Times New Roman" w:hAnsi="Times New Roman"/>
          <w:b/>
        </w:rPr>
        <w:t>Диагностика</w:t>
      </w:r>
    </w:p>
    <w:p w:rsidR="00AC1725" w:rsidRPr="004F4A3F" w:rsidRDefault="00AC1725" w:rsidP="00B12366">
      <w:pPr>
        <w:ind w:firstLine="708"/>
        <w:jc w:val="both"/>
        <w:rPr>
          <w:rFonts w:ascii="Times New Roman" w:hAnsi="Times New Roman"/>
        </w:rPr>
      </w:pPr>
      <w:r w:rsidRPr="004F4A3F">
        <w:rPr>
          <w:rFonts w:ascii="Times New Roman" w:hAnsi="Times New Roman"/>
        </w:rPr>
        <w:t>При дефиците фибринстабилизирующего фактора все параметры коагулограммы остаются в пределах нормы. Исследование сосудисто-тромбоцитарного гемостаза также не выявляет существенных нарушений. В этих условиях геморрагический диатез требует определения фактора XIII, поскольку это единственный фактор свертывания, при дефиците которого все тесты, характеризующие разные фазы свертывания крови, имеют нормальные показатели.</w:t>
      </w:r>
    </w:p>
    <w:p w:rsidR="00AC1725" w:rsidRPr="004F4A3F" w:rsidRDefault="00AC1725" w:rsidP="00B12366">
      <w:pPr>
        <w:ind w:firstLine="180"/>
        <w:jc w:val="both"/>
        <w:rPr>
          <w:rFonts w:ascii="Times New Roman" w:hAnsi="Times New Roman"/>
        </w:rPr>
      </w:pPr>
      <w:r w:rsidRPr="004F4A3F">
        <w:rPr>
          <w:rFonts w:ascii="Times New Roman" w:hAnsi="Times New Roman"/>
        </w:rPr>
        <w:t xml:space="preserve">Для распознавания легких и латентных форм дефицита фактора XIII качественные тесты непригодны, и диагностика возможна лишь с помощью количественного определения. </w:t>
      </w:r>
    </w:p>
    <w:p w:rsidR="00AC1725" w:rsidRPr="004F4A3F" w:rsidRDefault="00AC1725" w:rsidP="00B12366">
      <w:pPr>
        <w:ind w:firstLine="180"/>
        <w:jc w:val="both"/>
        <w:rPr>
          <w:rFonts w:ascii="Times New Roman" w:hAnsi="Times New Roman"/>
        </w:rPr>
      </w:pPr>
      <w:r w:rsidRPr="004F4A3F">
        <w:rPr>
          <w:rFonts w:ascii="Times New Roman" w:hAnsi="Times New Roman"/>
        </w:rPr>
        <w:t>Наследственный дефицит фактора XIII следует отличать от множества приобретенных форм этой патологии.</w:t>
      </w:r>
    </w:p>
    <w:p w:rsidR="00AC1725" w:rsidRPr="00B12366" w:rsidRDefault="00AC1725" w:rsidP="004D07A1">
      <w:pPr>
        <w:jc w:val="both"/>
        <w:rPr>
          <w:rFonts w:ascii="Times New Roman" w:hAnsi="Times New Roman"/>
          <w:b/>
        </w:rPr>
      </w:pPr>
      <w:r w:rsidRPr="00B12366">
        <w:rPr>
          <w:rFonts w:ascii="Times New Roman" w:hAnsi="Times New Roman"/>
          <w:b/>
        </w:rPr>
        <w:t>Лечение</w:t>
      </w:r>
    </w:p>
    <w:p w:rsidR="00AC1725" w:rsidRPr="004F4A3F" w:rsidRDefault="00AC1725" w:rsidP="00B12366">
      <w:pPr>
        <w:ind w:firstLine="180"/>
        <w:jc w:val="both"/>
        <w:rPr>
          <w:rFonts w:ascii="Times New Roman" w:hAnsi="Times New Roman"/>
        </w:rPr>
      </w:pPr>
      <w:r w:rsidRPr="004F4A3F">
        <w:rPr>
          <w:rFonts w:ascii="Times New Roman" w:hAnsi="Times New Roman"/>
        </w:rPr>
        <w:t xml:space="preserve">Для лечения геморрагического синдрома вследствие этого заболевания, в большинстве стран, применяют концентрат фактора </w:t>
      </w:r>
      <w:r w:rsidRPr="004F4A3F">
        <w:rPr>
          <w:rFonts w:ascii="Times New Roman" w:hAnsi="Times New Roman"/>
          <w:lang w:val="en-US"/>
        </w:rPr>
        <w:t>XIII</w:t>
      </w:r>
      <w:r w:rsidRPr="004F4A3F">
        <w:rPr>
          <w:rFonts w:ascii="Times New Roman" w:hAnsi="Times New Roman"/>
        </w:rPr>
        <w:t xml:space="preserve">в дозе 10-20 МЕ/кг. </w:t>
      </w:r>
    </w:p>
    <w:p w:rsidR="00AC1725" w:rsidRPr="004F4A3F" w:rsidRDefault="00AC1725" w:rsidP="00B12366">
      <w:pPr>
        <w:ind w:firstLine="180"/>
        <w:jc w:val="both"/>
        <w:rPr>
          <w:rFonts w:ascii="Times New Roman" w:hAnsi="Times New Roman"/>
        </w:rPr>
      </w:pPr>
      <w:r w:rsidRPr="004F4A3F">
        <w:rPr>
          <w:rFonts w:ascii="Times New Roman" w:hAnsi="Times New Roman"/>
        </w:rPr>
        <w:t>Кроме концентратов, для лечения и профилактики у таких пациентов можно использовать свежезамороженную плазму в дозе 10-20  мл/кг  или криопреципитат ( 1-2 дозы/10 кг) один раз в месяц.</w:t>
      </w:r>
    </w:p>
    <w:p w:rsidR="00AC1725" w:rsidRPr="004F4A3F" w:rsidRDefault="00AC1725" w:rsidP="00B12366">
      <w:pPr>
        <w:ind w:firstLine="180"/>
        <w:jc w:val="both"/>
        <w:rPr>
          <w:rFonts w:ascii="Times New Roman" w:hAnsi="Times New Roman"/>
        </w:rPr>
      </w:pPr>
      <w:r w:rsidRPr="004F4A3F">
        <w:rPr>
          <w:rFonts w:ascii="Times New Roman" w:hAnsi="Times New Roman"/>
        </w:rPr>
        <w:t>В качестве вспомогательных препаратов используют транексамовую или аминокапроновую кислоты в обычных терапевтических дозировках.</w:t>
      </w:r>
    </w:p>
    <w:p w:rsidR="00AC1725" w:rsidRPr="00B12366" w:rsidRDefault="00AC1725" w:rsidP="007425BA">
      <w:pPr>
        <w:rPr>
          <w:rFonts w:ascii="Times New Roman" w:hAnsi="Times New Roman"/>
          <w:b/>
        </w:rPr>
      </w:pPr>
      <w:r w:rsidRPr="00B12366">
        <w:rPr>
          <w:rFonts w:ascii="Times New Roman" w:hAnsi="Times New Roman"/>
          <w:b/>
        </w:rPr>
        <w:t>Прогноз</w:t>
      </w:r>
    </w:p>
    <w:p w:rsidR="00AC1725" w:rsidRPr="004F4A3F" w:rsidRDefault="00AC1725" w:rsidP="00B12366">
      <w:pPr>
        <w:ind w:firstLine="180"/>
        <w:rPr>
          <w:rFonts w:ascii="Times New Roman" w:hAnsi="Times New Roman"/>
        </w:rPr>
      </w:pPr>
      <w:r w:rsidRPr="004F4A3F">
        <w:rPr>
          <w:rFonts w:ascii="Times New Roman" w:hAnsi="Times New Roman"/>
        </w:rPr>
        <w:t xml:space="preserve">В большей части случаев дефицита фибринстабилизирующего фактора прогноз благоприятный. Однако у больных с этим дефектом гемостаза могут развиваться угрожающие жизни кровотечения после травм, операций и родов. </w:t>
      </w:r>
    </w:p>
    <w:p w:rsidR="00AC1725" w:rsidRPr="004F4A3F" w:rsidRDefault="00AC1725" w:rsidP="00B12366">
      <w:pPr>
        <w:ind w:firstLine="180"/>
        <w:rPr>
          <w:rFonts w:ascii="Times New Roman" w:hAnsi="Times New Roman"/>
        </w:rPr>
      </w:pPr>
      <w:r w:rsidRPr="004F4A3F">
        <w:rPr>
          <w:rFonts w:ascii="Times New Roman" w:hAnsi="Times New Roman"/>
        </w:rPr>
        <w:t>У части пациентов развивается ингибитор к фибринстабилизирующему фактору, что ухудшает прогноз за счёт снижения эффективности заместительной терапии.</w:t>
      </w:r>
    </w:p>
    <w:p w:rsidR="00AC1725" w:rsidRPr="004F4A3F" w:rsidRDefault="00AC1725">
      <w:pPr>
        <w:rPr>
          <w:rFonts w:ascii="Times New Roman" w:hAnsi="Times New Roman"/>
        </w:rPr>
      </w:pPr>
    </w:p>
    <w:sectPr w:rsidR="00AC1725" w:rsidRPr="004F4A3F" w:rsidSect="00B4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¬Ч?¬Ў? ЎЖ¬ЯҐм¬г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5BA"/>
    <w:rsid w:val="00024099"/>
    <w:rsid w:val="00065DF6"/>
    <w:rsid w:val="0006651F"/>
    <w:rsid w:val="00072A1D"/>
    <w:rsid w:val="0007457F"/>
    <w:rsid w:val="00082B5C"/>
    <w:rsid w:val="0008470A"/>
    <w:rsid w:val="000C41A9"/>
    <w:rsid w:val="000D671D"/>
    <w:rsid w:val="000E08B8"/>
    <w:rsid w:val="00103E73"/>
    <w:rsid w:val="0011216F"/>
    <w:rsid w:val="00120493"/>
    <w:rsid w:val="00133654"/>
    <w:rsid w:val="00137134"/>
    <w:rsid w:val="00147EA9"/>
    <w:rsid w:val="00166F48"/>
    <w:rsid w:val="001B3B4E"/>
    <w:rsid w:val="001C5AFD"/>
    <w:rsid w:val="001C5ED1"/>
    <w:rsid w:val="001D46EC"/>
    <w:rsid w:val="001E2E7E"/>
    <w:rsid w:val="00214D0F"/>
    <w:rsid w:val="002A3002"/>
    <w:rsid w:val="002C1946"/>
    <w:rsid w:val="00323894"/>
    <w:rsid w:val="003279A4"/>
    <w:rsid w:val="00394343"/>
    <w:rsid w:val="003A6A0A"/>
    <w:rsid w:val="003C7A9E"/>
    <w:rsid w:val="003D7E26"/>
    <w:rsid w:val="003F13E3"/>
    <w:rsid w:val="00403086"/>
    <w:rsid w:val="00404012"/>
    <w:rsid w:val="0041099C"/>
    <w:rsid w:val="00416401"/>
    <w:rsid w:val="00443C7C"/>
    <w:rsid w:val="0046738D"/>
    <w:rsid w:val="00480857"/>
    <w:rsid w:val="00485637"/>
    <w:rsid w:val="004B687D"/>
    <w:rsid w:val="004D0172"/>
    <w:rsid w:val="004D07A1"/>
    <w:rsid w:val="004E1A87"/>
    <w:rsid w:val="004F294E"/>
    <w:rsid w:val="004F4A3F"/>
    <w:rsid w:val="004F5C5D"/>
    <w:rsid w:val="004F7F83"/>
    <w:rsid w:val="00503C02"/>
    <w:rsid w:val="00517B30"/>
    <w:rsid w:val="005227D2"/>
    <w:rsid w:val="00537F5B"/>
    <w:rsid w:val="005444C3"/>
    <w:rsid w:val="00552DBF"/>
    <w:rsid w:val="00564C36"/>
    <w:rsid w:val="00587638"/>
    <w:rsid w:val="0059745E"/>
    <w:rsid w:val="005A7D50"/>
    <w:rsid w:val="005C7D55"/>
    <w:rsid w:val="006047D9"/>
    <w:rsid w:val="00607CB4"/>
    <w:rsid w:val="0062211D"/>
    <w:rsid w:val="00624A36"/>
    <w:rsid w:val="006322DE"/>
    <w:rsid w:val="006474FA"/>
    <w:rsid w:val="00676AAF"/>
    <w:rsid w:val="006903A2"/>
    <w:rsid w:val="006A574C"/>
    <w:rsid w:val="006B16E4"/>
    <w:rsid w:val="006B2CA8"/>
    <w:rsid w:val="006E18B8"/>
    <w:rsid w:val="006E7EC3"/>
    <w:rsid w:val="006F4D0A"/>
    <w:rsid w:val="006F58DB"/>
    <w:rsid w:val="00700B04"/>
    <w:rsid w:val="00710BEB"/>
    <w:rsid w:val="00734535"/>
    <w:rsid w:val="00735931"/>
    <w:rsid w:val="007425BA"/>
    <w:rsid w:val="007456EE"/>
    <w:rsid w:val="00755AC5"/>
    <w:rsid w:val="0076027D"/>
    <w:rsid w:val="0078533C"/>
    <w:rsid w:val="00787FF4"/>
    <w:rsid w:val="00794FC0"/>
    <w:rsid w:val="007A20CA"/>
    <w:rsid w:val="007A46B9"/>
    <w:rsid w:val="00870F57"/>
    <w:rsid w:val="008B17DB"/>
    <w:rsid w:val="008B6CEE"/>
    <w:rsid w:val="00904CB4"/>
    <w:rsid w:val="00916610"/>
    <w:rsid w:val="0092662A"/>
    <w:rsid w:val="00931F20"/>
    <w:rsid w:val="009771C7"/>
    <w:rsid w:val="00994BDE"/>
    <w:rsid w:val="009A1ACB"/>
    <w:rsid w:val="009B346C"/>
    <w:rsid w:val="009B6CDC"/>
    <w:rsid w:val="009E68A4"/>
    <w:rsid w:val="009F1BFD"/>
    <w:rsid w:val="009F5BDC"/>
    <w:rsid w:val="00A70865"/>
    <w:rsid w:val="00A77A86"/>
    <w:rsid w:val="00AB4372"/>
    <w:rsid w:val="00AC1725"/>
    <w:rsid w:val="00B06748"/>
    <w:rsid w:val="00B12366"/>
    <w:rsid w:val="00B1278B"/>
    <w:rsid w:val="00B35532"/>
    <w:rsid w:val="00B46167"/>
    <w:rsid w:val="00BD0693"/>
    <w:rsid w:val="00C03709"/>
    <w:rsid w:val="00C17679"/>
    <w:rsid w:val="00C33AA7"/>
    <w:rsid w:val="00C64318"/>
    <w:rsid w:val="00C80D4E"/>
    <w:rsid w:val="00C9596E"/>
    <w:rsid w:val="00CA5FCD"/>
    <w:rsid w:val="00CD08FC"/>
    <w:rsid w:val="00CE52A6"/>
    <w:rsid w:val="00D41C35"/>
    <w:rsid w:val="00D7792C"/>
    <w:rsid w:val="00DC0AB9"/>
    <w:rsid w:val="00DD6483"/>
    <w:rsid w:val="00E15694"/>
    <w:rsid w:val="00E417DF"/>
    <w:rsid w:val="00E46427"/>
    <w:rsid w:val="00E4744E"/>
    <w:rsid w:val="00E50E62"/>
    <w:rsid w:val="00E62A88"/>
    <w:rsid w:val="00EB29D1"/>
    <w:rsid w:val="00EB3B33"/>
    <w:rsid w:val="00EB6C6E"/>
    <w:rsid w:val="00ED38FA"/>
    <w:rsid w:val="00EF6DAC"/>
    <w:rsid w:val="00F063D1"/>
    <w:rsid w:val="00F15A67"/>
    <w:rsid w:val="00F75E8C"/>
    <w:rsid w:val="00FA3DBA"/>
    <w:rsid w:val="00FB721D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67"/>
    <w:rPr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538</Words>
  <Characters>3069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Zalepukhina</dc:creator>
  <cp:keywords/>
  <dc:description/>
  <cp:lastModifiedBy>admin</cp:lastModifiedBy>
  <cp:revision>3</cp:revision>
  <dcterms:created xsi:type="dcterms:W3CDTF">2020-03-20T11:43:00Z</dcterms:created>
  <dcterms:modified xsi:type="dcterms:W3CDTF">2020-03-20T21:58:00Z</dcterms:modified>
</cp:coreProperties>
</file>