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D4B3F" w:rsidRPr="0050532E" w:rsidRDefault="00EB6516" w:rsidP="0050532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</w:t>
      </w:r>
      <w:r w:rsidR="00BD4B3F" w:rsidRPr="0050532E">
        <w:rPr>
          <w:rFonts w:ascii="Times New Roman" w:hAnsi="Times New Roman" w:cs="Times New Roman"/>
          <w:b/>
        </w:rPr>
        <w:t>етод</w:t>
      </w:r>
      <w:r w:rsidR="00AC6C70" w:rsidRPr="0050532E">
        <w:rPr>
          <w:rFonts w:ascii="Times New Roman" w:hAnsi="Times New Roman" w:cs="Times New Roman"/>
          <w:b/>
        </w:rPr>
        <w:t>ы</w:t>
      </w:r>
      <w:r w:rsidR="00BD4B3F" w:rsidRPr="0050532E">
        <w:rPr>
          <w:rFonts w:ascii="Times New Roman" w:hAnsi="Times New Roman" w:cs="Times New Roman"/>
          <w:b/>
        </w:rPr>
        <w:t xml:space="preserve"> определения</w:t>
      </w:r>
    </w:p>
    <w:p w:rsidR="00673A37" w:rsidRPr="0050532E" w:rsidRDefault="00BD4B3F" w:rsidP="0050532E">
      <w:pPr>
        <w:spacing w:after="0"/>
        <w:jc w:val="center"/>
        <w:rPr>
          <w:rFonts w:ascii="Times New Roman" w:hAnsi="Times New Roman" w:cs="Times New Roman"/>
          <w:b/>
        </w:rPr>
      </w:pPr>
      <w:r w:rsidRPr="0050532E">
        <w:rPr>
          <w:rFonts w:ascii="Times New Roman" w:hAnsi="Times New Roman" w:cs="Times New Roman"/>
          <w:b/>
        </w:rPr>
        <w:t xml:space="preserve">активности факторов </w:t>
      </w:r>
      <w:r w:rsidR="0050532E" w:rsidRPr="0050532E">
        <w:rPr>
          <w:rFonts w:ascii="Times New Roman" w:hAnsi="Times New Roman" w:cs="Times New Roman"/>
          <w:b/>
        </w:rPr>
        <w:t>свертывания крови</w:t>
      </w:r>
      <w:r w:rsidRPr="0050532E">
        <w:rPr>
          <w:rFonts w:ascii="Times New Roman" w:hAnsi="Times New Roman" w:cs="Times New Roman"/>
          <w:b/>
        </w:rPr>
        <w:t>.</w:t>
      </w:r>
    </w:p>
    <w:p w:rsidR="00BD4B3F" w:rsidRPr="0050532E" w:rsidRDefault="00BD4B3F" w:rsidP="0050532E">
      <w:pPr>
        <w:spacing w:after="0"/>
        <w:jc w:val="both"/>
        <w:rPr>
          <w:rFonts w:ascii="Times New Roman" w:hAnsi="Times New Roman" w:cs="Times New Roman"/>
        </w:rPr>
      </w:pPr>
    </w:p>
    <w:p w:rsidR="0050532E" w:rsidRPr="0050532E" w:rsidRDefault="0050532E" w:rsidP="00B7032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0532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</w:t>
      </w:r>
      <w:r w:rsidR="00BD4B3F" w:rsidRPr="0050532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Изучение механизмов свертывания крови и их регуляции невозможно без использования лабораторных исследований. На сегодняшний день известны практически все факторы, принимающие участие в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каскаде свертывания</w:t>
      </w:r>
      <w:r w:rsidR="00BD4B3F" w:rsidRPr="0050532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Открыты их первичная, вторичная и третичная структуры. Обнаружены и расшифрованы гены, ответственные за формирование этих факторов. В то же время в повседневной практике изучение процесса </w:t>
      </w:r>
      <w:proofErr w:type="spellStart"/>
      <w:r w:rsidR="00BD4B3F" w:rsidRPr="0050532E">
        <w:rPr>
          <w:rFonts w:ascii="Times New Roman" w:eastAsia="Times New Roman" w:hAnsi="Times New Roman" w:cs="Times New Roman"/>
          <w:color w:val="333333"/>
          <w:sz w:val="24"/>
          <w:szCs w:val="24"/>
        </w:rPr>
        <w:t>гемокоагуляции</w:t>
      </w:r>
      <w:proofErr w:type="spellEnd"/>
      <w:r w:rsidR="00BD4B3F" w:rsidRPr="0050532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организме человека осуществляется с помощью лабораторных методов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r w:rsidR="00BD4B3F" w:rsidRPr="0050532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Материалом для </w:t>
      </w:r>
      <w:proofErr w:type="spellStart"/>
      <w:r w:rsidR="00BD4B3F" w:rsidRPr="0050532E">
        <w:rPr>
          <w:rFonts w:ascii="Times New Roman" w:eastAsia="Times New Roman" w:hAnsi="Times New Roman" w:cs="Times New Roman"/>
          <w:color w:val="333333"/>
          <w:sz w:val="24"/>
          <w:szCs w:val="24"/>
        </w:rPr>
        <w:t>коагулогических</w:t>
      </w:r>
      <w:proofErr w:type="spellEnd"/>
      <w:r w:rsidR="00BD4B3F" w:rsidRPr="0050532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исследований является плазма</w:t>
      </w:r>
      <w:r w:rsidR="00AC6C70" w:rsidRPr="0050532E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BD4B3F" w:rsidRPr="0050532E" w:rsidRDefault="00BD4B3F" w:rsidP="00B7032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0532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При обнаружении патологических значений АЧТВ </w:t>
      </w:r>
      <w:r w:rsidR="0050532E" w:rsidRPr="0050532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и/или ПВ </w:t>
      </w:r>
      <w:r w:rsidR="00AC6C70" w:rsidRPr="0050532E">
        <w:rPr>
          <w:rFonts w:ascii="Times New Roman" w:eastAsia="Times New Roman" w:hAnsi="Times New Roman" w:cs="Times New Roman"/>
          <w:color w:val="333333"/>
          <w:sz w:val="24"/>
          <w:szCs w:val="24"/>
        </w:rPr>
        <w:t>проводит</w:t>
      </w:r>
      <w:r w:rsidRPr="0050532E">
        <w:rPr>
          <w:rFonts w:ascii="Times New Roman" w:eastAsia="Times New Roman" w:hAnsi="Times New Roman" w:cs="Times New Roman"/>
          <w:color w:val="333333"/>
          <w:sz w:val="24"/>
          <w:szCs w:val="24"/>
        </w:rPr>
        <w:t>ся дальнейшая дифференциальная диагностика нарушений гемостаза. Установить точно, активность какого из факторов свертывания снижена в крови больного, позволяет лишь дополнительное обследование. Для этого используются тесты количественного определения факторов свертывания в плазме</w:t>
      </w:r>
      <w:r w:rsidR="00AC6C70" w:rsidRPr="0050532E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50532E" w:rsidRPr="0050532E" w:rsidRDefault="0050532E" w:rsidP="00B7032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B70323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="00BD4B3F" w:rsidRPr="00BD4B3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Наиболее распространенным способом определения дефицита факторов свертывания является одностадийный </w:t>
      </w:r>
      <w:proofErr w:type="spellStart"/>
      <w:r w:rsidR="00BD4B3F" w:rsidRPr="00BD4B3F">
        <w:rPr>
          <w:rFonts w:ascii="Times New Roman" w:eastAsia="Times New Roman" w:hAnsi="Times New Roman" w:cs="Times New Roman"/>
          <w:color w:val="333333"/>
          <w:sz w:val="24"/>
          <w:szCs w:val="24"/>
        </w:rPr>
        <w:t>клоттинговый</w:t>
      </w:r>
      <w:proofErr w:type="spellEnd"/>
      <w:r w:rsidR="00BD4B3F" w:rsidRPr="00BD4B3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метод исследования с использованием субстратных (дефицитных) образцов плазмы, лишенных одного из факторов свертывания крови. Принцип метода заключается в определении промежутка времени после добавления стартового реактива, запускающего каскад свертывания плазмы в смесь субстратной (дефицитной) плазмы, в которой отсутствует исследуемый фактор, и исследуемой плазмы больного. Степень коррекции зависит от активности исследуемого фактора свертывания, поскольку активность других факторов свертывания в этой системе в норме.</w:t>
      </w:r>
      <w:r w:rsidR="00AC6C70" w:rsidRPr="0050532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Далее</w:t>
      </w:r>
      <w:r w:rsidR="00BD4B3F" w:rsidRPr="00BD4B3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AC6C70" w:rsidRPr="0050532E"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 w:rsidR="00BD4B3F" w:rsidRPr="00BD4B3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ктивность дефицитного фактора в исследуемой плазме определяют по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калибровочной </w:t>
      </w:r>
      <w:r w:rsidR="00BD4B3F" w:rsidRPr="00BD4B3F">
        <w:rPr>
          <w:rFonts w:ascii="Times New Roman" w:eastAsia="Times New Roman" w:hAnsi="Times New Roman" w:cs="Times New Roman"/>
          <w:color w:val="333333"/>
          <w:sz w:val="24"/>
          <w:szCs w:val="24"/>
        </w:rPr>
        <w:t>кривой.</w:t>
      </w:r>
    </w:p>
    <w:p w:rsidR="0050532E" w:rsidRPr="0050532E" w:rsidRDefault="00BD4B3F" w:rsidP="00B7032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D4B3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B70323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Pr="00BD4B3F">
        <w:rPr>
          <w:rFonts w:ascii="Times New Roman" w:eastAsia="Times New Roman" w:hAnsi="Times New Roman" w:cs="Times New Roman"/>
          <w:color w:val="333333"/>
          <w:sz w:val="24"/>
          <w:szCs w:val="24"/>
        </w:rPr>
        <w:t>При проведении этого анализа необходимо соблюдать требования по приготовлению реагентов: разведение, прогревание, построение калибровочного графика. Правильность построения калибровочно</w:t>
      </w:r>
      <w:r w:rsidR="0050532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й кривой </w:t>
      </w:r>
      <w:r w:rsidRPr="00BD4B3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для определения активности отдельных факторов оценивают с помощью международных стандартов. Качественным критерием наборов с субстратной плазмой являются очень низкая или неопределяемая активность одного из факторов свертывания крови (менее 1%), нормальная активность других факторов, наличие в наборе калибраторов с дробным содержанием фактора, чтобы можно было построить калибровочную кривую как в зоне с нормальным, так и патологическим содержанием фактора свертывания. </w:t>
      </w:r>
    </w:p>
    <w:p w:rsidR="00AC6C70" w:rsidRDefault="00BD4B3F" w:rsidP="00B7032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D4B3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Метод применяется для диагностики врожденных и приобретенных дефицитов факторов </w:t>
      </w:r>
      <w:r w:rsidR="00AC6C70" w:rsidRPr="0050532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внутреннего пути </w:t>
      </w:r>
      <w:r w:rsidRPr="00BD4B3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свертывания. Основными ограничениями метода определения активности факторов свертывания одностадийным методом является его чувствительность к присутствию в образце крови гепарина или непрямых антикоагулянтов, волчаночного антикоагулянта. </w:t>
      </w:r>
    </w:p>
    <w:p w:rsidR="0050532E" w:rsidRPr="0050532E" w:rsidRDefault="0050532E" w:rsidP="00B7032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D4B3F" w:rsidRPr="00BD4B3F" w:rsidRDefault="00BD4B3F" w:rsidP="00B7032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BD4B3F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="00AC6C70" w:rsidRPr="0050532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спользуется </w:t>
      </w:r>
      <w:r w:rsidRPr="00BD4B3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также</w:t>
      </w:r>
      <w:proofErr w:type="gramEnd"/>
      <w:r w:rsidRPr="00BD4B3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хромогенный метод определения активности факторов свертывания крови. Синтетический субстрат представляет собой молекулу, которая распознается и разрезается </w:t>
      </w:r>
      <w:proofErr w:type="spellStart"/>
      <w:r w:rsidRPr="00BD4B3F">
        <w:rPr>
          <w:rFonts w:ascii="Times New Roman" w:eastAsia="Times New Roman" w:hAnsi="Times New Roman" w:cs="Times New Roman"/>
          <w:color w:val="333333"/>
          <w:sz w:val="24"/>
          <w:szCs w:val="24"/>
        </w:rPr>
        <w:t>сериновой</w:t>
      </w:r>
      <w:proofErr w:type="spellEnd"/>
      <w:r w:rsidRPr="00BD4B3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D4B3F">
        <w:rPr>
          <w:rFonts w:ascii="Times New Roman" w:eastAsia="Times New Roman" w:hAnsi="Times New Roman" w:cs="Times New Roman"/>
          <w:color w:val="333333"/>
          <w:sz w:val="24"/>
          <w:szCs w:val="24"/>
        </w:rPr>
        <w:t>протеиназой</w:t>
      </w:r>
      <w:proofErr w:type="spellEnd"/>
      <w:r w:rsidRPr="00BD4B3F">
        <w:rPr>
          <w:rFonts w:ascii="Times New Roman" w:eastAsia="Times New Roman" w:hAnsi="Times New Roman" w:cs="Times New Roman"/>
          <w:color w:val="333333"/>
          <w:sz w:val="24"/>
          <w:szCs w:val="24"/>
        </w:rPr>
        <w:t>. Этот разрез ведет к отщеплению от субстрата сигнальной молекулы, метки. Метка либо изменяет оптическую плотность раствора (хромогенный, т.е. окрашивающий субстрат), либо способна флуоресцировать при освещении (</w:t>
      </w:r>
      <w:proofErr w:type="spellStart"/>
      <w:r w:rsidRPr="00BD4B3F">
        <w:rPr>
          <w:rFonts w:ascii="Times New Roman" w:eastAsia="Times New Roman" w:hAnsi="Times New Roman" w:cs="Times New Roman"/>
          <w:color w:val="333333"/>
          <w:sz w:val="24"/>
          <w:szCs w:val="24"/>
        </w:rPr>
        <w:t>флуорогенный</w:t>
      </w:r>
      <w:proofErr w:type="spellEnd"/>
      <w:r w:rsidRPr="00BD4B3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субстрат). Субстрат можно добавлять в исследуемую плазму и </w:t>
      </w:r>
      <w:r w:rsidRPr="00BD4B3F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 xml:space="preserve">записывать сигнал, получающийся при свертывании. К преимуществам хромогенного метода по сравнению с одностадийным методом является его резистентность к волчаночному антикоагулянту, гепарину или другим антикоагулянтам (например, ингибиторам тромбина) Ограничением метода является использование специального оборудования </w:t>
      </w:r>
      <w:r w:rsidR="00AC6C70" w:rsidRPr="0050532E">
        <w:rPr>
          <w:rFonts w:ascii="Times New Roman" w:eastAsia="Times New Roman" w:hAnsi="Times New Roman" w:cs="Times New Roman"/>
          <w:color w:val="333333"/>
          <w:sz w:val="24"/>
          <w:szCs w:val="24"/>
        </w:rPr>
        <w:t>и высокая стоимость исследования</w:t>
      </w:r>
      <w:r w:rsidRPr="00BD4B3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</w:p>
    <w:p w:rsidR="00BD4B3F" w:rsidRPr="00BD4B3F" w:rsidRDefault="00BD4B3F" w:rsidP="00B7032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D4B3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Таким образом, все имеющиеся в настоящее время методы определения дефицита факторов свертывания являются трудоемкими, требующими специального оборудования, выполняются врачами-лаборантами, специалистами в области гемостаза и применяется только в узкоспециализированных стационарах. Во многих стационарах нет условий, оборудования и специалистов для проведения подобных исследований. В результате при выявлении нарушений в системе гемостаза отменяются либо откладываются инвазивные вмешательства, </w:t>
      </w:r>
      <w:r w:rsidR="00AC6C70" w:rsidRPr="0050532E">
        <w:rPr>
          <w:rFonts w:ascii="Times New Roman" w:eastAsia="Times New Roman" w:hAnsi="Times New Roman" w:cs="Times New Roman"/>
          <w:color w:val="333333"/>
          <w:sz w:val="24"/>
          <w:szCs w:val="24"/>
        </w:rPr>
        <w:t>не редко</w:t>
      </w:r>
      <w:r w:rsidRPr="00BD4B3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лечение проводится без установленного диагноза и может оказаться неэффективным. </w:t>
      </w:r>
    </w:p>
    <w:p w:rsidR="00BD4B3F" w:rsidRPr="0050532E" w:rsidRDefault="00BD4B3F" w:rsidP="00B70323">
      <w:pPr>
        <w:spacing w:after="0"/>
        <w:jc w:val="both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</w:p>
    <w:p w:rsidR="00BD4B3F" w:rsidRPr="0050532E" w:rsidRDefault="00BD4B3F" w:rsidP="00B70323">
      <w:pPr>
        <w:spacing w:after="0"/>
        <w:jc w:val="both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</w:p>
    <w:p w:rsidR="00D70478" w:rsidRPr="00365FA2" w:rsidRDefault="00D70478" w:rsidP="00B70323">
      <w:pPr>
        <w:spacing w:after="0"/>
        <w:ind w:firstLine="708"/>
        <w:rPr>
          <w:rFonts w:ascii="YS Text" w:eastAsia="Times New Roman" w:hAnsi="YS Text" w:cs="Times New Roman"/>
          <w:color w:val="000000"/>
          <w:sz w:val="24"/>
          <w:szCs w:val="24"/>
        </w:rPr>
      </w:pPr>
      <w:r w:rsidRPr="00365FA2">
        <w:rPr>
          <w:rFonts w:ascii="YS Text" w:eastAsia="Times New Roman" w:hAnsi="YS Text" w:cs="Times New Roman"/>
          <w:color w:val="000000"/>
          <w:sz w:val="24"/>
          <w:szCs w:val="24"/>
        </w:rPr>
        <w:t>Врачи клинической лабораторной диагностики ГЦЛГ: Крашенинникова О. А., Позднякова В. А.</w:t>
      </w:r>
    </w:p>
    <w:p w:rsidR="00D70478" w:rsidRDefault="00D70478" w:rsidP="00B70323">
      <w:pPr>
        <w:spacing w:after="0"/>
        <w:rPr>
          <w:rFonts w:ascii="YS Text" w:eastAsia="Times New Roman" w:hAnsi="YS Text" w:cs="Times New Roman"/>
          <w:color w:val="000000"/>
          <w:sz w:val="23"/>
          <w:szCs w:val="23"/>
        </w:rPr>
      </w:pPr>
    </w:p>
    <w:p w:rsidR="00D70478" w:rsidRDefault="00D70478" w:rsidP="00D70478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</w:rPr>
      </w:pPr>
    </w:p>
    <w:p w:rsidR="00D33FB2" w:rsidRPr="00D33FB2" w:rsidRDefault="00D33FB2" w:rsidP="00D33FB2">
      <w:pPr>
        <w:pStyle w:val="a5"/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BD4B3F" w:rsidRDefault="00BD4B3F" w:rsidP="00BD4B3F">
      <w:pPr>
        <w:spacing w:after="0"/>
        <w:jc w:val="center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BD4B3F" w:rsidRDefault="00BD4B3F" w:rsidP="00BD4B3F">
      <w:pPr>
        <w:spacing w:after="0"/>
        <w:jc w:val="center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BD4B3F" w:rsidRDefault="00BD4B3F" w:rsidP="00BD4B3F">
      <w:pPr>
        <w:spacing w:after="0"/>
        <w:jc w:val="center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BD4B3F" w:rsidRDefault="00BD4B3F" w:rsidP="00BD4B3F">
      <w:pPr>
        <w:spacing w:after="0"/>
        <w:jc w:val="center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BD4B3F" w:rsidRDefault="00BD4B3F" w:rsidP="00BD4B3F">
      <w:pPr>
        <w:spacing w:after="0"/>
        <w:jc w:val="center"/>
      </w:pPr>
    </w:p>
    <w:p w:rsidR="00BD4B3F" w:rsidRDefault="00BD4B3F" w:rsidP="00BD4B3F">
      <w:pPr>
        <w:spacing w:after="0"/>
        <w:jc w:val="center"/>
      </w:pPr>
    </w:p>
    <w:p w:rsidR="00BD4B3F" w:rsidRDefault="00BD4B3F" w:rsidP="00BD4B3F">
      <w:pPr>
        <w:spacing w:after="0"/>
        <w:jc w:val="center"/>
      </w:pPr>
    </w:p>
    <w:p w:rsidR="00BD4B3F" w:rsidRDefault="00BD4B3F" w:rsidP="00BD4B3F">
      <w:pPr>
        <w:spacing w:after="0"/>
        <w:jc w:val="center"/>
      </w:pPr>
    </w:p>
    <w:p w:rsidR="00BD4B3F" w:rsidRDefault="00BD4B3F" w:rsidP="00BD4B3F">
      <w:pPr>
        <w:spacing w:after="0"/>
        <w:jc w:val="center"/>
      </w:pPr>
    </w:p>
    <w:sectPr w:rsidR="00BD4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5369D7"/>
    <w:multiLevelType w:val="hybridMultilevel"/>
    <w:tmpl w:val="BF3AC98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1120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B3F"/>
    <w:rsid w:val="000D21D2"/>
    <w:rsid w:val="0050532E"/>
    <w:rsid w:val="00673A37"/>
    <w:rsid w:val="00AC6C70"/>
    <w:rsid w:val="00B70323"/>
    <w:rsid w:val="00BD4B3F"/>
    <w:rsid w:val="00D33FB2"/>
    <w:rsid w:val="00D70478"/>
    <w:rsid w:val="00EB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EE996"/>
  <w15:docId w15:val="{8C3C6727-338D-4018-8D3D-86FD16076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4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D4B3F"/>
    <w:rPr>
      <w:b/>
      <w:bCs/>
    </w:rPr>
  </w:style>
  <w:style w:type="paragraph" w:styleId="a5">
    <w:name w:val="List Paragraph"/>
    <w:basedOn w:val="a"/>
    <w:uiPriority w:val="34"/>
    <w:qFormat/>
    <w:rsid w:val="00AC6C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3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2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3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9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Андреева</cp:lastModifiedBy>
  <cp:revision>3</cp:revision>
  <dcterms:created xsi:type="dcterms:W3CDTF">2023-03-04T17:19:00Z</dcterms:created>
  <dcterms:modified xsi:type="dcterms:W3CDTF">2023-03-04T17:20:00Z</dcterms:modified>
</cp:coreProperties>
</file>