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2954" w14:textId="72453DD5" w:rsidR="00322517" w:rsidRPr="00B226C3" w:rsidRDefault="00322517" w:rsidP="003225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26C3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</w:t>
      </w:r>
      <w:r w:rsidR="00B226C3" w:rsidRPr="00B226C3">
        <w:rPr>
          <w:rFonts w:ascii="Times New Roman" w:hAnsi="Times New Roman" w:cs="Times New Roman"/>
          <w:b/>
          <w:bCs/>
          <w:sz w:val="24"/>
          <w:szCs w:val="24"/>
        </w:rPr>
        <w:t xml:space="preserve">купирования боли </w:t>
      </w:r>
      <w:r w:rsidRPr="00B226C3">
        <w:rPr>
          <w:rFonts w:ascii="Times New Roman" w:hAnsi="Times New Roman" w:cs="Times New Roman"/>
          <w:b/>
          <w:bCs/>
          <w:sz w:val="24"/>
          <w:szCs w:val="24"/>
        </w:rPr>
        <w:t>у детей и подростков</w:t>
      </w:r>
      <w:r w:rsidR="002C7A46">
        <w:rPr>
          <w:rFonts w:ascii="Times New Roman" w:hAnsi="Times New Roman" w:cs="Times New Roman"/>
          <w:b/>
          <w:bCs/>
          <w:sz w:val="24"/>
          <w:szCs w:val="24"/>
        </w:rPr>
        <w:t xml:space="preserve"> с гемофилией</w:t>
      </w:r>
    </w:p>
    <w:p w14:paraId="6BCA1B39" w14:textId="1397981E" w:rsidR="00322517" w:rsidRPr="00322517" w:rsidRDefault="00B226C3" w:rsidP="003225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гемофилия ассоциируется у людей с кровотечениями вследствие </w:t>
      </w:r>
      <w:r w:rsidR="000F2D73">
        <w:rPr>
          <w:rFonts w:ascii="Times New Roman" w:hAnsi="Times New Roman" w:cs="Times New Roman"/>
          <w:sz w:val="24"/>
          <w:szCs w:val="24"/>
        </w:rPr>
        <w:t xml:space="preserve">«несвертываемости крови», </w:t>
      </w:r>
      <w:r>
        <w:rPr>
          <w:rFonts w:ascii="Times New Roman" w:hAnsi="Times New Roman" w:cs="Times New Roman"/>
          <w:sz w:val="24"/>
          <w:szCs w:val="24"/>
        </w:rPr>
        <w:t xml:space="preserve">однако наиболее частой жалобой </w:t>
      </w:r>
      <w:r w:rsidR="000F2D73">
        <w:rPr>
          <w:rFonts w:ascii="Times New Roman" w:hAnsi="Times New Roman" w:cs="Times New Roman"/>
          <w:sz w:val="24"/>
          <w:szCs w:val="24"/>
        </w:rPr>
        <w:t xml:space="preserve">пациентов с гемофилией </w:t>
      </w:r>
      <w:r>
        <w:rPr>
          <w:rFonts w:ascii="Times New Roman" w:hAnsi="Times New Roman" w:cs="Times New Roman"/>
          <w:sz w:val="24"/>
          <w:szCs w:val="24"/>
        </w:rPr>
        <w:t xml:space="preserve">является боль!!! </w:t>
      </w:r>
      <w:r w:rsidR="00322517" w:rsidRPr="00322517">
        <w:rPr>
          <w:rFonts w:ascii="Times New Roman" w:hAnsi="Times New Roman" w:cs="Times New Roman"/>
          <w:sz w:val="24"/>
          <w:szCs w:val="24"/>
        </w:rPr>
        <w:t xml:space="preserve">Для </w:t>
      </w:r>
      <w:r w:rsidR="000F2D73">
        <w:rPr>
          <w:rFonts w:ascii="Times New Roman" w:hAnsi="Times New Roman" w:cs="Times New Roman"/>
          <w:sz w:val="24"/>
          <w:szCs w:val="24"/>
        </w:rPr>
        <w:t xml:space="preserve">этих пациентов </w:t>
      </w:r>
      <w:r w:rsidR="00322517" w:rsidRPr="00322517">
        <w:rPr>
          <w:rFonts w:ascii="Times New Roman" w:hAnsi="Times New Roman" w:cs="Times New Roman"/>
          <w:sz w:val="24"/>
          <w:szCs w:val="24"/>
        </w:rPr>
        <w:t>боль остается проблемой на всю жизнь. С ранних лет пациенты часто испытывают острую и хроническую боль, особенно из-за суставных кровотечений или дегенерации суставов, а также из-за терапевтических вмешательств. Опрос пациентов, проведенный в Германии в 2013 г., иллюстрирует, как боль влияет на качество жизни пациентов. Из опрошенных пациентов 86% хотя бы иногда страдали от боли, связанной с гемофилией. Среди респондентов 92% назвали боль в суставах наиболее частым видом боли. У детей и подростков (в возрасте 0–17 лет) 66% больных гемофилией испытывали боль. По мере взросления больные гемофилией все чаще обращаются за медицинской помощью из-за болей. Из тех, кто обращается за помощью, 40% обращаются к специалисту по гемофилии, 32% к врачу общей практики, а 9% обращаются за помощью к ортопеду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22517" w:rsidRPr="00322517">
        <w:rPr>
          <w:rFonts w:ascii="Times New Roman" w:hAnsi="Times New Roman" w:cs="Times New Roman"/>
          <w:sz w:val="24"/>
          <w:szCs w:val="24"/>
        </w:rPr>
        <w:t xml:space="preserve">Чтобы улучшить терапию боли, консультация специалиста по боли не должна рассматриваться как крайняя мера, а должна происходить гораздо раньше, особенно для предотвращения </w:t>
      </w:r>
      <w:proofErr w:type="spellStart"/>
      <w:r w:rsidR="00322517" w:rsidRPr="00322517">
        <w:rPr>
          <w:rFonts w:ascii="Times New Roman" w:hAnsi="Times New Roman" w:cs="Times New Roman"/>
          <w:sz w:val="24"/>
          <w:szCs w:val="24"/>
        </w:rPr>
        <w:t>хронизации</w:t>
      </w:r>
      <w:proofErr w:type="spellEnd"/>
      <w:r w:rsidR="00322517" w:rsidRPr="00322517">
        <w:rPr>
          <w:rFonts w:ascii="Times New Roman" w:hAnsi="Times New Roman" w:cs="Times New Roman"/>
          <w:sz w:val="24"/>
          <w:szCs w:val="24"/>
        </w:rPr>
        <w:t xml:space="preserve"> боли.</w:t>
      </w:r>
    </w:p>
    <w:p w14:paraId="43834C6C" w14:textId="46ECDFE1" w:rsidR="00322517" w:rsidRPr="00322517" w:rsidRDefault="00322517" w:rsidP="003225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517">
        <w:rPr>
          <w:rFonts w:ascii="Times New Roman" w:hAnsi="Times New Roman" w:cs="Times New Roman"/>
          <w:sz w:val="24"/>
          <w:szCs w:val="24"/>
        </w:rPr>
        <w:t>Причины недостаточного обезболивания у больных гемофилией могут быть разнообразными. Во многих случаях боль при гемофилии недооценивается, что приводит к недостаточному использованию возможностей противоболевой терапии. Неуверенность в выборе терапии ввиду нарушения свертывания</w:t>
      </w:r>
      <w:r w:rsidR="00B226C3">
        <w:rPr>
          <w:rFonts w:ascii="Times New Roman" w:hAnsi="Times New Roman" w:cs="Times New Roman"/>
          <w:sz w:val="24"/>
          <w:szCs w:val="24"/>
        </w:rPr>
        <w:t xml:space="preserve"> крови</w:t>
      </w:r>
      <w:r w:rsidRPr="00322517">
        <w:rPr>
          <w:rFonts w:ascii="Times New Roman" w:hAnsi="Times New Roman" w:cs="Times New Roman"/>
          <w:sz w:val="24"/>
          <w:szCs w:val="24"/>
        </w:rPr>
        <w:t xml:space="preserve"> также может привести к неадекватной терапии боли.</w:t>
      </w:r>
    </w:p>
    <w:p w14:paraId="69AE955D" w14:textId="648EB15F" w:rsidR="00322517" w:rsidRPr="00322517" w:rsidRDefault="00322517" w:rsidP="003225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517">
        <w:rPr>
          <w:rFonts w:ascii="Times New Roman" w:hAnsi="Times New Roman" w:cs="Times New Roman"/>
          <w:sz w:val="24"/>
          <w:szCs w:val="24"/>
        </w:rPr>
        <w:t>Более 80% всех кровотечений поражают суставы, из которых наиболее частым является коленный, затем голеностопный, локтевой и лучезапястный. Следовательно, эти суставы являются наиболее частыми очагами острой и хронической боли.</w:t>
      </w:r>
    </w:p>
    <w:p w14:paraId="7B9256B3" w14:textId="78C8C4F9" w:rsidR="00322517" w:rsidRPr="00322517" w:rsidRDefault="00322517" w:rsidP="0032251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2517">
        <w:rPr>
          <w:rFonts w:ascii="Times New Roman" w:hAnsi="Times New Roman" w:cs="Times New Roman"/>
          <w:sz w:val="24"/>
          <w:szCs w:val="24"/>
        </w:rPr>
        <w:t xml:space="preserve">Острая боль может быть вызвана кровотечением, хроническая боль - длительной дегенерацией, такой как </w:t>
      </w:r>
      <w:proofErr w:type="spellStart"/>
      <w:r w:rsidRPr="00322517">
        <w:rPr>
          <w:rFonts w:ascii="Times New Roman" w:hAnsi="Times New Roman" w:cs="Times New Roman"/>
          <w:sz w:val="24"/>
          <w:szCs w:val="24"/>
        </w:rPr>
        <w:t>артропатия</w:t>
      </w:r>
      <w:proofErr w:type="spellEnd"/>
      <w:r w:rsidRPr="00322517">
        <w:rPr>
          <w:rFonts w:ascii="Times New Roman" w:hAnsi="Times New Roman" w:cs="Times New Roman"/>
          <w:sz w:val="24"/>
          <w:szCs w:val="24"/>
        </w:rPr>
        <w:t>. Кровоизлияния в суставы провоцируются низким уровнем фактора свертывания крови и сопровождаются воспалением и болью. В случае повторных кровотечений ангиогенез кровеносных сосудов в синовиальной оболочке еще больше увеличивает склонность к кровотечениям. Хронический суставной выпот затем приводит к образованию паннуса, который влияет на функциональность, вызывает дегенерацию сустава и боль.</w:t>
      </w:r>
      <w:r w:rsidRPr="00322517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2251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Паннус</w:t>
      </w:r>
      <w:r w:rsidRPr="00C1299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32251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-</w:t>
      </w:r>
      <w:r w:rsidRPr="00C1299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Pr="0032251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это</w:t>
      </w:r>
      <w:proofErr w:type="gramEnd"/>
      <w:r w:rsidRPr="0032251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 аномальный слой </w:t>
      </w:r>
      <w:proofErr w:type="spellStart"/>
      <w:r w:rsidRPr="0032251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фиброваскулярной</w:t>
      </w:r>
      <w:proofErr w:type="spellEnd"/>
      <w:r w:rsidRPr="0032251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ткани или грануляционной ткани.</w:t>
      </w:r>
    </w:p>
    <w:p w14:paraId="381519EC" w14:textId="388F09BB" w:rsidR="00322517" w:rsidRPr="00322517" w:rsidRDefault="00C12991" w:rsidP="003225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Причиной </w:t>
      </w:r>
      <w:r w:rsidR="00322517" w:rsidRPr="00322517">
        <w:rPr>
          <w:rFonts w:ascii="Times New Roman" w:hAnsi="Times New Roman" w:cs="Times New Roman"/>
          <w:sz w:val="24"/>
          <w:szCs w:val="24"/>
        </w:rPr>
        <w:t xml:space="preserve">хронической боли </w:t>
      </w:r>
      <w:r>
        <w:rPr>
          <w:rFonts w:ascii="Times New Roman" w:hAnsi="Times New Roman" w:cs="Times New Roman"/>
          <w:sz w:val="24"/>
          <w:szCs w:val="24"/>
        </w:rPr>
        <w:t xml:space="preserve">у пациентов </w:t>
      </w:r>
      <w:r w:rsidR="00322517" w:rsidRPr="00322517">
        <w:rPr>
          <w:rFonts w:ascii="Times New Roman" w:hAnsi="Times New Roman" w:cs="Times New Roman"/>
          <w:sz w:val="24"/>
          <w:szCs w:val="24"/>
        </w:rPr>
        <w:t xml:space="preserve">с гемофилией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22517" w:rsidRPr="00322517">
        <w:rPr>
          <w:rFonts w:ascii="Times New Roman" w:hAnsi="Times New Roman" w:cs="Times New Roman"/>
          <w:sz w:val="24"/>
          <w:szCs w:val="24"/>
        </w:rPr>
        <w:t xml:space="preserve">32–50% больных </w:t>
      </w:r>
      <w:r>
        <w:rPr>
          <w:rFonts w:ascii="Times New Roman" w:hAnsi="Times New Roman" w:cs="Times New Roman"/>
          <w:sz w:val="24"/>
          <w:szCs w:val="24"/>
        </w:rPr>
        <w:t xml:space="preserve">гемофилическая </w:t>
      </w:r>
      <w:proofErr w:type="spellStart"/>
      <w:r w:rsidR="00322517" w:rsidRPr="00322517">
        <w:rPr>
          <w:rFonts w:ascii="Times New Roman" w:hAnsi="Times New Roman" w:cs="Times New Roman"/>
          <w:sz w:val="24"/>
          <w:szCs w:val="24"/>
        </w:rPr>
        <w:t>артропати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322517" w:rsidRPr="00322517">
        <w:rPr>
          <w:rFonts w:ascii="Times New Roman" w:hAnsi="Times New Roman" w:cs="Times New Roman"/>
          <w:sz w:val="24"/>
          <w:szCs w:val="24"/>
        </w:rPr>
        <w:t xml:space="preserve">. Этот тип хронической боли в суставах приводит к снижению физической активности и, следовательно, к повышенному риску сердечно-сосудистых заболеваний и оказывает негативное влияние на психологическое здоровье. Это ускоряет социальную изоляцию, ограничивает трудоспособность и часто приводит к употреблению потенциально вызывающих привыкание </w:t>
      </w:r>
      <w:r>
        <w:rPr>
          <w:rFonts w:ascii="Times New Roman" w:hAnsi="Times New Roman" w:cs="Times New Roman"/>
          <w:sz w:val="24"/>
          <w:szCs w:val="24"/>
        </w:rPr>
        <w:t>препаратов</w:t>
      </w:r>
      <w:r w:rsidR="00322517" w:rsidRPr="00322517">
        <w:rPr>
          <w:rFonts w:ascii="Times New Roman" w:hAnsi="Times New Roman" w:cs="Times New Roman"/>
          <w:sz w:val="24"/>
          <w:szCs w:val="24"/>
        </w:rPr>
        <w:t>.</w:t>
      </w:r>
    </w:p>
    <w:p w14:paraId="1C90472E" w14:textId="2B911951" w:rsidR="00322517" w:rsidRPr="00322517" w:rsidRDefault="00C12991" w:rsidP="00C129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Массивные </w:t>
      </w:r>
      <w:r w:rsidR="00322517" w:rsidRPr="00322517">
        <w:rPr>
          <w:rFonts w:ascii="Times New Roman" w:hAnsi="Times New Roman" w:cs="Times New Roman"/>
          <w:sz w:val="24"/>
          <w:szCs w:val="24"/>
        </w:rPr>
        <w:t>кровотечения в мышечной ткани могут, если их не лечить, привести к повышению давления и кальцификации, вызывая повреждение близлежащих нервов и кровеносных сосудов и, следовательно, также приводя к боли и ограничению диапазона движений, мышечной атрофии и параличу.</w:t>
      </w:r>
    </w:p>
    <w:p w14:paraId="1B50BE18" w14:textId="3B479FBC" w:rsidR="00322517" w:rsidRPr="00322517" w:rsidRDefault="00322517" w:rsidP="00322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517">
        <w:rPr>
          <w:rFonts w:ascii="Times New Roman" w:hAnsi="Times New Roman" w:cs="Times New Roman"/>
          <w:sz w:val="24"/>
          <w:szCs w:val="24"/>
        </w:rPr>
        <w:t>Помимо болевого синдрома, больные гемофилией могут также страдать от всех других распространенных типов боли, включая головные боли, болезненные желудочно-кишечные симптомы и послеоперационные боли.</w:t>
      </w:r>
    </w:p>
    <w:p w14:paraId="5E2CEAF0" w14:textId="78850047" w:rsidR="00322517" w:rsidRPr="00322517" w:rsidRDefault="00322517" w:rsidP="003225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517">
        <w:rPr>
          <w:rFonts w:ascii="Times New Roman" w:hAnsi="Times New Roman" w:cs="Times New Roman"/>
          <w:sz w:val="24"/>
          <w:szCs w:val="24"/>
        </w:rPr>
        <w:t xml:space="preserve">Болезненные переживания из-за связанных с гемофилией кровотечений и лечебных процедур начинаются в раннем детстве. Психологические и физические переживания в этом контексте могут привести к негативному </w:t>
      </w:r>
      <w:r>
        <w:rPr>
          <w:rFonts w:ascii="Times New Roman" w:hAnsi="Times New Roman" w:cs="Times New Roman"/>
          <w:sz w:val="24"/>
          <w:szCs w:val="24"/>
        </w:rPr>
        <w:t xml:space="preserve">восприятию </w:t>
      </w:r>
      <w:r w:rsidRPr="00322517">
        <w:rPr>
          <w:rFonts w:ascii="Times New Roman" w:hAnsi="Times New Roman" w:cs="Times New Roman"/>
          <w:sz w:val="24"/>
          <w:szCs w:val="24"/>
        </w:rPr>
        <w:t xml:space="preserve">у детей, а также к дальнейшей </w:t>
      </w:r>
      <w:r w:rsidRPr="00322517">
        <w:rPr>
          <w:rFonts w:ascii="Times New Roman" w:hAnsi="Times New Roman" w:cs="Times New Roman"/>
          <w:sz w:val="24"/>
          <w:szCs w:val="24"/>
        </w:rPr>
        <w:lastRenderedPageBreak/>
        <w:t xml:space="preserve">сенсибилизации к боли. У детей более низкий болевой порог, а восприятие боли и ее вербализация сильно зависят от возраста ребенка. </w:t>
      </w:r>
    </w:p>
    <w:p w14:paraId="7C3DEA40" w14:textId="705EFB0D" w:rsidR="00322517" w:rsidRPr="00322517" w:rsidRDefault="00322517" w:rsidP="003225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517">
        <w:rPr>
          <w:rFonts w:ascii="Times New Roman" w:hAnsi="Times New Roman" w:cs="Times New Roman"/>
          <w:sz w:val="24"/>
          <w:szCs w:val="24"/>
        </w:rPr>
        <w:t>Боль у детей можно измерить с помощью различных инструментов, таких как шкала детского дискомфорта и боли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25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09D1F" w14:textId="77777777" w:rsidR="00322517" w:rsidRPr="00322517" w:rsidRDefault="00322517" w:rsidP="003225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517">
        <w:rPr>
          <w:rFonts w:ascii="Times New Roman" w:hAnsi="Times New Roman" w:cs="Times New Roman"/>
          <w:sz w:val="24"/>
          <w:szCs w:val="24"/>
        </w:rPr>
        <w:t>Когда речь идет о применении к детям необходимых лечебных мероприятий, наиболее важно проявлять ласку, давать им чувство безопасности, создавать благоприятную для ребенка среду, обеспечивать отвлечение внимания.</w:t>
      </w:r>
    </w:p>
    <w:p w14:paraId="25A8A27A" w14:textId="1032B185" w:rsidR="00322517" w:rsidRPr="00322517" w:rsidRDefault="00322517" w:rsidP="00C129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517">
        <w:rPr>
          <w:rFonts w:ascii="Times New Roman" w:hAnsi="Times New Roman" w:cs="Times New Roman"/>
          <w:sz w:val="24"/>
          <w:szCs w:val="24"/>
        </w:rPr>
        <w:t xml:space="preserve">Доказана эффективность психологического </w:t>
      </w:r>
      <w:r>
        <w:rPr>
          <w:rFonts w:ascii="Times New Roman" w:hAnsi="Times New Roman" w:cs="Times New Roman"/>
          <w:sz w:val="24"/>
          <w:szCs w:val="24"/>
        </w:rPr>
        <w:t xml:space="preserve">воздействия </w:t>
      </w:r>
      <w:r w:rsidRPr="00322517">
        <w:rPr>
          <w:rFonts w:ascii="Times New Roman" w:hAnsi="Times New Roman" w:cs="Times New Roman"/>
          <w:sz w:val="24"/>
          <w:szCs w:val="24"/>
        </w:rPr>
        <w:t>в рамках длительного ухода за детьми с болезненными заболеваниями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2517">
        <w:rPr>
          <w:rFonts w:ascii="Times New Roman" w:hAnsi="Times New Roman" w:cs="Times New Roman"/>
          <w:sz w:val="24"/>
          <w:szCs w:val="24"/>
        </w:rPr>
        <w:t xml:space="preserve">Психологическое </w:t>
      </w:r>
      <w:r>
        <w:rPr>
          <w:rFonts w:ascii="Times New Roman" w:hAnsi="Times New Roman" w:cs="Times New Roman"/>
          <w:sz w:val="24"/>
          <w:szCs w:val="24"/>
        </w:rPr>
        <w:t>воздействие</w:t>
      </w:r>
      <w:r w:rsidR="00C12991">
        <w:rPr>
          <w:rFonts w:ascii="Times New Roman" w:hAnsi="Times New Roman" w:cs="Times New Roman"/>
          <w:sz w:val="24"/>
          <w:szCs w:val="24"/>
        </w:rPr>
        <w:t xml:space="preserve"> </w:t>
      </w:r>
      <w:r w:rsidRPr="00322517">
        <w:rPr>
          <w:rFonts w:ascii="Times New Roman" w:hAnsi="Times New Roman" w:cs="Times New Roman"/>
          <w:sz w:val="24"/>
          <w:szCs w:val="24"/>
        </w:rPr>
        <w:t xml:space="preserve">особенно показано в тех случаях, когда болезнь оказывает сильное негативное влияние на повседневную жизнь или когда существуют факторы риска </w:t>
      </w:r>
      <w:proofErr w:type="spellStart"/>
      <w:r w:rsidRPr="00322517">
        <w:rPr>
          <w:rFonts w:ascii="Times New Roman" w:hAnsi="Times New Roman" w:cs="Times New Roman"/>
          <w:sz w:val="24"/>
          <w:szCs w:val="24"/>
        </w:rPr>
        <w:t>хронизации</w:t>
      </w:r>
      <w:proofErr w:type="spellEnd"/>
      <w:r w:rsidR="00C12991">
        <w:rPr>
          <w:rFonts w:ascii="Times New Roman" w:hAnsi="Times New Roman" w:cs="Times New Roman"/>
          <w:sz w:val="24"/>
          <w:szCs w:val="24"/>
        </w:rPr>
        <w:t xml:space="preserve"> боли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25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DF1AB" w14:textId="03D0FF0E" w:rsidR="00322517" w:rsidRPr="00322517" w:rsidRDefault="00322517" w:rsidP="003225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517">
        <w:rPr>
          <w:rFonts w:ascii="Times New Roman" w:hAnsi="Times New Roman" w:cs="Times New Roman"/>
          <w:sz w:val="24"/>
          <w:szCs w:val="24"/>
        </w:rPr>
        <w:t>У детей может развиться дефицит координации, гибкости, соотношения силы и выносливости. Поэтому важно мультимодальное обучение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2517">
        <w:rPr>
          <w:rFonts w:ascii="Times New Roman" w:hAnsi="Times New Roman" w:cs="Times New Roman"/>
          <w:sz w:val="24"/>
          <w:szCs w:val="24"/>
        </w:rPr>
        <w:t xml:space="preserve"> Физические меры, такие как дополнительное использование лазерной терапии или терапии импульсным электромагнитным полем играют важную роль в уменьшении боли и физической функции.</w:t>
      </w:r>
    </w:p>
    <w:p w14:paraId="01DD14AD" w14:textId="04A99532" w:rsidR="00322517" w:rsidRPr="00322517" w:rsidRDefault="00322517" w:rsidP="00322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517">
        <w:rPr>
          <w:rFonts w:ascii="Times New Roman" w:hAnsi="Times New Roman" w:cs="Times New Roman"/>
          <w:sz w:val="24"/>
          <w:szCs w:val="24"/>
        </w:rPr>
        <w:t xml:space="preserve">Фармакотерапия боли у детей характеризуется особенностями </w:t>
      </w:r>
      <w:proofErr w:type="spellStart"/>
      <w:r w:rsidRPr="00322517">
        <w:rPr>
          <w:rFonts w:ascii="Times New Roman" w:hAnsi="Times New Roman" w:cs="Times New Roman"/>
          <w:sz w:val="24"/>
          <w:szCs w:val="24"/>
        </w:rPr>
        <w:t>фармакодинамики</w:t>
      </w:r>
      <w:proofErr w:type="spellEnd"/>
      <w:r w:rsidRPr="00322517">
        <w:rPr>
          <w:rFonts w:ascii="Times New Roman" w:hAnsi="Times New Roman" w:cs="Times New Roman"/>
          <w:sz w:val="24"/>
          <w:szCs w:val="24"/>
        </w:rPr>
        <w:t xml:space="preserve"> и фармакокинетики. В связи с</w:t>
      </w:r>
      <w:r w:rsidR="00C12991">
        <w:rPr>
          <w:rFonts w:ascii="Times New Roman" w:hAnsi="Times New Roman" w:cs="Times New Roman"/>
          <w:sz w:val="24"/>
          <w:szCs w:val="24"/>
        </w:rPr>
        <w:t xml:space="preserve"> тем, что </w:t>
      </w:r>
      <w:r w:rsidR="00C12991" w:rsidRPr="00322517">
        <w:rPr>
          <w:rFonts w:ascii="Times New Roman" w:hAnsi="Times New Roman" w:cs="Times New Roman"/>
          <w:sz w:val="24"/>
          <w:szCs w:val="24"/>
        </w:rPr>
        <w:t>в первые 6 мес</w:t>
      </w:r>
      <w:r w:rsidR="00C12991">
        <w:rPr>
          <w:rFonts w:ascii="Times New Roman" w:hAnsi="Times New Roman" w:cs="Times New Roman"/>
          <w:sz w:val="24"/>
          <w:szCs w:val="24"/>
        </w:rPr>
        <w:t>яцев</w:t>
      </w:r>
      <w:r w:rsidR="00C12991" w:rsidRPr="00322517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C12991">
        <w:rPr>
          <w:rFonts w:ascii="Times New Roman" w:hAnsi="Times New Roman" w:cs="Times New Roman"/>
          <w:sz w:val="24"/>
          <w:szCs w:val="24"/>
        </w:rPr>
        <w:t xml:space="preserve"> показатели гемостаза не достигают уровня взрослого пациента, то </w:t>
      </w:r>
      <w:r w:rsidRPr="00322517">
        <w:rPr>
          <w:rFonts w:ascii="Times New Roman" w:hAnsi="Times New Roman" w:cs="Times New Roman"/>
          <w:sz w:val="24"/>
          <w:szCs w:val="24"/>
        </w:rPr>
        <w:t xml:space="preserve">различия в </w:t>
      </w:r>
      <w:proofErr w:type="spellStart"/>
      <w:r w:rsidRPr="00322517">
        <w:rPr>
          <w:rFonts w:ascii="Times New Roman" w:hAnsi="Times New Roman" w:cs="Times New Roman"/>
          <w:sz w:val="24"/>
          <w:szCs w:val="24"/>
        </w:rPr>
        <w:t>фармакодинамике</w:t>
      </w:r>
      <w:proofErr w:type="spellEnd"/>
      <w:r w:rsidRPr="00322517">
        <w:rPr>
          <w:rFonts w:ascii="Times New Roman" w:hAnsi="Times New Roman" w:cs="Times New Roman"/>
          <w:sz w:val="24"/>
          <w:szCs w:val="24"/>
        </w:rPr>
        <w:t xml:space="preserve"> </w:t>
      </w:r>
      <w:r w:rsidR="00C12991">
        <w:rPr>
          <w:rFonts w:ascii="Times New Roman" w:hAnsi="Times New Roman" w:cs="Times New Roman"/>
          <w:sz w:val="24"/>
          <w:szCs w:val="24"/>
        </w:rPr>
        <w:t xml:space="preserve">наиболее выражены </w:t>
      </w:r>
      <w:proofErr w:type="spellStart"/>
      <w:r w:rsidRPr="00322517">
        <w:rPr>
          <w:rFonts w:ascii="Times New Roman" w:hAnsi="Times New Roman" w:cs="Times New Roman"/>
          <w:sz w:val="24"/>
          <w:szCs w:val="24"/>
        </w:rPr>
        <w:t>выражены</w:t>
      </w:r>
      <w:proofErr w:type="spellEnd"/>
      <w:r w:rsidR="00C12991">
        <w:rPr>
          <w:rFonts w:ascii="Times New Roman" w:hAnsi="Times New Roman" w:cs="Times New Roman"/>
          <w:sz w:val="24"/>
          <w:szCs w:val="24"/>
        </w:rPr>
        <w:t xml:space="preserve"> в этот временной промежуток</w:t>
      </w:r>
      <w:r w:rsidRPr="00322517">
        <w:rPr>
          <w:rFonts w:ascii="Times New Roman" w:hAnsi="Times New Roman" w:cs="Times New Roman"/>
          <w:sz w:val="24"/>
          <w:szCs w:val="24"/>
        </w:rPr>
        <w:t>, но сохраняются до полового созревания</w:t>
      </w:r>
      <w:r w:rsidR="00B226C3">
        <w:rPr>
          <w:rFonts w:ascii="Times New Roman" w:hAnsi="Times New Roman" w:cs="Times New Roman"/>
          <w:sz w:val="24"/>
          <w:szCs w:val="24"/>
        </w:rPr>
        <w:t xml:space="preserve">. </w:t>
      </w:r>
      <w:r w:rsidRPr="00322517">
        <w:rPr>
          <w:rFonts w:ascii="Times New Roman" w:hAnsi="Times New Roman" w:cs="Times New Roman"/>
          <w:sz w:val="24"/>
          <w:szCs w:val="24"/>
        </w:rPr>
        <w:t>В целом у детей более активный метаболизм, и поэтому для достижения сопоставимого терапевтического эффекта часто требуются сравнительно более высокие дозы на кг массы тела по сравнению со взрослыми.</w:t>
      </w:r>
    </w:p>
    <w:p w14:paraId="196EE560" w14:textId="164B1663" w:rsidR="00322517" w:rsidRDefault="00322517" w:rsidP="00B226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517">
        <w:rPr>
          <w:rFonts w:ascii="Times New Roman" w:hAnsi="Times New Roman" w:cs="Times New Roman"/>
          <w:sz w:val="24"/>
          <w:szCs w:val="24"/>
        </w:rPr>
        <w:t xml:space="preserve">Типы лекарств, используемых у детей старше первого года, включают </w:t>
      </w:r>
      <w:proofErr w:type="spellStart"/>
      <w:r w:rsidRPr="00322517">
        <w:rPr>
          <w:rFonts w:ascii="Times New Roman" w:hAnsi="Times New Roman" w:cs="Times New Roman"/>
          <w:sz w:val="24"/>
          <w:szCs w:val="24"/>
        </w:rPr>
        <w:t>неопиоидные</w:t>
      </w:r>
      <w:proofErr w:type="spellEnd"/>
      <w:r w:rsidRPr="00322517">
        <w:rPr>
          <w:rFonts w:ascii="Times New Roman" w:hAnsi="Times New Roman" w:cs="Times New Roman"/>
          <w:sz w:val="24"/>
          <w:szCs w:val="24"/>
        </w:rPr>
        <w:t xml:space="preserve"> анальгетики, такие как НПВП, анальгетики (метамизол), парацетамол. Самый высокий уровень доказательности для безопасного использования у детей имеется для НПВП ибупрофена, который можно вводить ректально или перорально, но следует отметить, что он также нарушает функцию тромбоцитов. </w:t>
      </w:r>
      <w:r w:rsidR="00C12991">
        <w:rPr>
          <w:rFonts w:ascii="Times New Roman" w:hAnsi="Times New Roman" w:cs="Times New Roman"/>
          <w:sz w:val="24"/>
          <w:szCs w:val="24"/>
        </w:rPr>
        <w:t xml:space="preserve">Проведенные исследования </w:t>
      </w:r>
      <w:r w:rsidRPr="00322517">
        <w:rPr>
          <w:rFonts w:ascii="Times New Roman" w:hAnsi="Times New Roman" w:cs="Times New Roman"/>
          <w:sz w:val="24"/>
          <w:szCs w:val="24"/>
        </w:rPr>
        <w:t>показывают, что комбинации НПВП и парацетамола не приводят к лучшим результатам, чем отдельн</w:t>
      </w:r>
      <w:r w:rsidR="00C12991">
        <w:rPr>
          <w:rFonts w:ascii="Times New Roman" w:hAnsi="Times New Roman" w:cs="Times New Roman"/>
          <w:sz w:val="24"/>
          <w:szCs w:val="24"/>
        </w:rPr>
        <w:t>о</w:t>
      </w:r>
      <w:r w:rsidRPr="00322517">
        <w:rPr>
          <w:rFonts w:ascii="Times New Roman" w:hAnsi="Times New Roman" w:cs="Times New Roman"/>
          <w:sz w:val="24"/>
          <w:szCs w:val="24"/>
        </w:rPr>
        <w:t xml:space="preserve">е </w:t>
      </w:r>
      <w:r w:rsidR="00C12991">
        <w:rPr>
          <w:rFonts w:ascii="Times New Roman" w:hAnsi="Times New Roman" w:cs="Times New Roman"/>
          <w:sz w:val="24"/>
          <w:szCs w:val="24"/>
        </w:rPr>
        <w:t xml:space="preserve">применение препаратов. </w:t>
      </w:r>
      <w:r w:rsidRPr="00322517">
        <w:rPr>
          <w:rFonts w:ascii="Times New Roman" w:hAnsi="Times New Roman" w:cs="Times New Roman"/>
          <w:sz w:val="24"/>
          <w:szCs w:val="24"/>
        </w:rPr>
        <w:t>Назначение ингибиторов ЦОГ-2 является вариантом, но данных недостаточно для применения у детей младше 12 лет.</w:t>
      </w:r>
      <w:r w:rsidR="00C12991">
        <w:rPr>
          <w:rFonts w:ascii="Times New Roman" w:hAnsi="Times New Roman" w:cs="Times New Roman"/>
          <w:sz w:val="24"/>
          <w:szCs w:val="24"/>
        </w:rPr>
        <w:t xml:space="preserve"> </w:t>
      </w:r>
      <w:r w:rsidRPr="00322517">
        <w:rPr>
          <w:rFonts w:ascii="Times New Roman" w:hAnsi="Times New Roman" w:cs="Times New Roman"/>
          <w:sz w:val="24"/>
          <w:szCs w:val="24"/>
        </w:rPr>
        <w:t>Антидепрессанты также эффективно используются у детей школьного возраста и подростков</w:t>
      </w:r>
      <w:r w:rsidR="00B226C3">
        <w:rPr>
          <w:rFonts w:ascii="Times New Roman" w:hAnsi="Times New Roman" w:cs="Times New Roman"/>
          <w:sz w:val="24"/>
          <w:szCs w:val="24"/>
        </w:rPr>
        <w:t>,</w:t>
      </w:r>
      <w:r w:rsidRPr="00322517">
        <w:rPr>
          <w:rFonts w:ascii="Times New Roman" w:hAnsi="Times New Roman" w:cs="Times New Roman"/>
          <w:sz w:val="24"/>
          <w:szCs w:val="24"/>
        </w:rPr>
        <w:t xml:space="preserve"> а противосудорожные препараты, такие как </w:t>
      </w:r>
      <w:proofErr w:type="spellStart"/>
      <w:r w:rsidRPr="00322517">
        <w:rPr>
          <w:rFonts w:ascii="Times New Roman" w:hAnsi="Times New Roman" w:cs="Times New Roman"/>
          <w:sz w:val="24"/>
          <w:szCs w:val="24"/>
        </w:rPr>
        <w:t>габапентин</w:t>
      </w:r>
      <w:proofErr w:type="spellEnd"/>
      <w:r w:rsidRPr="00322517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322517">
        <w:rPr>
          <w:rFonts w:ascii="Times New Roman" w:hAnsi="Times New Roman" w:cs="Times New Roman"/>
          <w:sz w:val="24"/>
          <w:szCs w:val="24"/>
        </w:rPr>
        <w:t>прегабалин</w:t>
      </w:r>
      <w:proofErr w:type="spellEnd"/>
      <w:r w:rsidRPr="00322517">
        <w:rPr>
          <w:rFonts w:ascii="Times New Roman" w:hAnsi="Times New Roman" w:cs="Times New Roman"/>
          <w:sz w:val="24"/>
          <w:szCs w:val="24"/>
        </w:rPr>
        <w:t>, относятся к препаратам первой линии, используемым для лечения невропатической боли</w:t>
      </w:r>
      <w:r w:rsidR="00B226C3">
        <w:rPr>
          <w:rFonts w:ascii="Times New Roman" w:hAnsi="Times New Roman" w:cs="Times New Roman"/>
          <w:sz w:val="24"/>
          <w:szCs w:val="24"/>
        </w:rPr>
        <w:t>.</w:t>
      </w:r>
      <w:r w:rsidRPr="003225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A68B1C" w14:textId="6533A562" w:rsidR="005327E1" w:rsidRDefault="005327E1" w:rsidP="00B226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5C963E" w14:textId="2EB9D786" w:rsidR="005327E1" w:rsidRPr="00322517" w:rsidRDefault="005327E1" w:rsidP="00B226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Сотру</w:t>
      </w:r>
      <w:r w:rsidR="0011084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ники  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центра по лечению гемофилии</w:t>
      </w:r>
    </w:p>
    <w:sectPr w:rsidR="005327E1" w:rsidRPr="00322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BD"/>
    <w:rsid w:val="000D6BC9"/>
    <w:rsid w:val="000F2D73"/>
    <w:rsid w:val="00110846"/>
    <w:rsid w:val="002C7A46"/>
    <w:rsid w:val="00322517"/>
    <w:rsid w:val="005236BD"/>
    <w:rsid w:val="005327E1"/>
    <w:rsid w:val="00B226C3"/>
    <w:rsid w:val="00C1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7031"/>
  <w15:chartTrackingRefBased/>
  <w15:docId w15:val="{CC16C323-7FEE-4A0E-B642-474BFF03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Андреева</dc:creator>
  <cp:keywords/>
  <dc:description/>
  <cp:lastModifiedBy>Татьяна Андреева</cp:lastModifiedBy>
  <cp:revision>6</cp:revision>
  <dcterms:created xsi:type="dcterms:W3CDTF">2022-10-21T09:32:00Z</dcterms:created>
  <dcterms:modified xsi:type="dcterms:W3CDTF">2022-10-21T10:52:00Z</dcterms:modified>
</cp:coreProperties>
</file>