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BD" w:rsidRPr="00B63626" w:rsidRDefault="00BC02BD" w:rsidP="00B63626">
      <w:pPr>
        <w:pStyle w:val="NoSpacing"/>
        <w:jc w:val="center"/>
        <w:rPr>
          <w:rFonts w:ascii="Times New Roman" w:hAnsi="Times New Roman"/>
          <w:b/>
          <w:sz w:val="36"/>
          <w:szCs w:val="36"/>
        </w:rPr>
      </w:pPr>
      <w:r w:rsidRPr="00B63626">
        <w:rPr>
          <w:rFonts w:ascii="Times New Roman" w:hAnsi="Times New Roman"/>
          <w:b/>
          <w:sz w:val="36"/>
          <w:szCs w:val="36"/>
        </w:rPr>
        <w:t>Скрининговые тесты плазменного гемостаза:</w:t>
      </w:r>
    </w:p>
    <w:p w:rsidR="00BC02BD" w:rsidRDefault="00BC02BD" w:rsidP="00B63626">
      <w:pPr>
        <w:pStyle w:val="NoSpacing"/>
        <w:jc w:val="center"/>
        <w:rPr>
          <w:rFonts w:ascii="Times New Roman" w:hAnsi="Times New Roman"/>
          <w:b/>
          <w:sz w:val="36"/>
          <w:szCs w:val="36"/>
        </w:rPr>
      </w:pPr>
      <w:r w:rsidRPr="00B63626">
        <w:rPr>
          <w:rFonts w:ascii="Times New Roman" w:hAnsi="Times New Roman"/>
          <w:b/>
          <w:sz w:val="36"/>
          <w:szCs w:val="36"/>
        </w:rPr>
        <w:t>определение фибриногена</w:t>
      </w:r>
    </w:p>
    <w:p w:rsidR="00BC02BD" w:rsidRDefault="00BC02BD" w:rsidP="00B63626">
      <w:pPr>
        <w:pStyle w:val="NoSpacing"/>
        <w:jc w:val="center"/>
        <w:rPr>
          <w:rFonts w:ascii="Times New Roman" w:hAnsi="Times New Roman"/>
          <w:b/>
          <w:sz w:val="36"/>
          <w:szCs w:val="36"/>
        </w:rPr>
      </w:pP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Определение коагулологической активности факторов общего пути свертывания крови имеет принципиальное значение при клинико-лабораторной диагностике поражений системы гемостаза. Одним из наиболее значимых в данном отношении является определение фибриногена, повышение или дефицит содержания которого часто обуславливает развитие тромботических или геморрагических состояний соответственно.</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Фибриноген представляет собой главный субстрат свертывающей и противосвертывающей систем, из которого под действием тромбина образуется фибриновая основа сгустка крови (тромба), обеспечивающего полноценный гемостаз. Фибриноген является эуглобулином, белком острой фазы, гликопротеином с молекулярной массой 340000Д, синтезируется в паренхиматозных клетках печени и поступает в кровь.</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Определение фибриногена  - это один из рутинных тестов коагулограммы, выполняемый различными методами. Измерения могут быть ручными и автоматизированными, коагулологические анализаторы могут быть механическими, оптическими и совмещающими оба способа измерения. </w:t>
      </w:r>
    </w:p>
    <w:p w:rsidR="00BC02BD" w:rsidRDefault="00BC02BD" w:rsidP="000D4A24">
      <w:pPr>
        <w:pStyle w:val="NoSpacing"/>
        <w:jc w:val="both"/>
        <w:rPr>
          <w:rFonts w:ascii="Times New Roman" w:hAnsi="Times New Roman"/>
          <w:sz w:val="26"/>
          <w:szCs w:val="26"/>
        </w:rPr>
      </w:pPr>
    </w:p>
    <w:p w:rsidR="00BC02BD" w:rsidRDefault="00BC02BD" w:rsidP="00287FC2">
      <w:pPr>
        <w:pStyle w:val="NoSpacing"/>
        <w:jc w:val="both"/>
        <w:rPr>
          <w:rFonts w:ascii="Times New Roman" w:hAnsi="Times New Roman"/>
          <w:b/>
          <w:sz w:val="26"/>
          <w:szCs w:val="26"/>
        </w:rPr>
      </w:pPr>
      <w:r>
        <w:rPr>
          <w:rFonts w:ascii="Times New Roman" w:hAnsi="Times New Roman"/>
          <w:b/>
          <w:sz w:val="26"/>
          <w:szCs w:val="26"/>
        </w:rPr>
        <w:t xml:space="preserve">1. </w:t>
      </w:r>
      <w:r w:rsidRPr="00287FC2">
        <w:rPr>
          <w:rFonts w:ascii="Times New Roman" w:hAnsi="Times New Roman"/>
          <w:b/>
          <w:sz w:val="26"/>
          <w:szCs w:val="26"/>
        </w:rPr>
        <w:t>Определение содержания фибриногена в</w:t>
      </w:r>
      <w:r>
        <w:rPr>
          <w:rFonts w:ascii="Times New Roman" w:hAnsi="Times New Roman"/>
          <w:b/>
          <w:sz w:val="26"/>
          <w:szCs w:val="26"/>
        </w:rPr>
        <w:t xml:space="preserve"> плазме крови по методу Рутберг  </w:t>
      </w:r>
    </w:p>
    <w:p w:rsidR="00BC02BD" w:rsidRPr="002C0E3A" w:rsidRDefault="00BC02BD" w:rsidP="00287FC2">
      <w:pPr>
        <w:pStyle w:val="NoSpacing"/>
        <w:jc w:val="both"/>
        <w:rPr>
          <w:rFonts w:ascii="Times New Roman" w:hAnsi="Times New Roman"/>
          <w:b/>
          <w:sz w:val="26"/>
          <w:szCs w:val="26"/>
        </w:rPr>
      </w:pPr>
      <w:r>
        <w:rPr>
          <w:rFonts w:ascii="Times New Roman" w:hAnsi="Times New Roman"/>
          <w:b/>
          <w:sz w:val="26"/>
          <w:szCs w:val="26"/>
        </w:rPr>
        <w:t>(г</w:t>
      </w:r>
      <w:r w:rsidRPr="002C0E3A">
        <w:rPr>
          <w:rFonts w:ascii="Times New Roman" w:hAnsi="Times New Roman"/>
          <w:b/>
          <w:sz w:val="26"/>
          <w:szCs w:val="26"/>
        </w:rPr>
        <w:t>равиметрический метод)</w:t>
      </w:r>
    </w:p>
    <w:p w:rsidR="00BC02BD" w:rsidRPr="00287FC2" w:rsidRDefault="00BC02BD" w:rsidP="00287FC2">
      <w:pPr>
        <w:pStyle w:val="NoSpacing"/>
        <w:jc w:val="both"/>
        <w:rPr>
          <w:rFonts w:ascii="Times New Roman" w:hAnsi="Times New Roman"/>
          <w:b/>
          <w:sz w:val="26"/>
          <w:szCs w:val="26"/>
        </w:rPr>
      </w:pPr>
    </w:p>
    <w:p w:rsidR="00BC02BD" w:rsidRPr="00287FC2" w:rsidRDefault="00BC02BD" w:rsidP="00287FC2">
      <w:pPr>
        <w:pStyle w:val="NoSpacing"/>
        <w:jc w:val="both"/>
        <w:rPr>
          <w:rFonts w:ascii="Times New Roman" w:hAnsi="Times New Roman"/>
          <w:sz w:val="26"/>
          <w:szCs w:val="26"/>
        </w:rPr>
      </w:pPr>
      <w:r w:rsidRPr="00287FC2">
        <w:rPr>
          <w:rFonts w:ascii="Times New Roman" w:hAnsi="Times New Roman"/>
          <w:b/>
          <w:sz w:val="26"/>
          <w:szCs w:val="26"/>
        </w:rPr>
        <w:t>Принцип.</w:t>
      </w:r>
      <w:r w:rsidRPr="00287FC2">
        <w:rPr>
          <w:rFonts w:ascii="Times New Roman" w:hAnsi="Times New Roman"/>
          <w:sz w:val="26"/>
          <w:szCs w:val="26"/>
        </w:rPr>
        <w:t> Образовавшийся в результате свертывания плазмы крови фибрин быстро высушивают и взвешивают. По его массе судят о количественном содержании фибриногена. Количество образовавшегося фибрина эквивалентно содержанию фибриногена в плазме.</w:t>
      </w:r>
    </w:p>
    <w:p w:rsidR="00BC02BD" w:rsidRPr="00287FC2" w:rsidRDefault="00BC02BD" w:rsidP="00287FC2">
      <w:pPr>
        <w:pStyle w:val="NoSpacing"/>
        <w:jc w:val="both"/>
        <w:rPr>
          <w:rFonts w:ascii="Times New Roman" w:hAnsi="Times New Roman"/>
          <w:sz w:val="26"/>
          <w:szCs w:val="26"/>
        </w:rPr>
      </w:pPr>
      <w:r w:rsidRPr="00287FC2">
        <w:rPr>
          <w:rFonts w:ascii="Times New Roman" w:hAnsi="Times New Roman"/>
          <w:sz w:val="26"/>
          <w:szCs w:val="26"/>
        </w:rPr>
        <w:t xml:space="preserve">К 1,0 мл плазмы добавляют 0,1 мл 0,45 моль/л раствора хлорида кальция. </w:t>
      </w:r>
      <w:r>
        <w:rPr>
          <w:rFonts w:ascii="Times New Roman" w:hAnsi="Times New Roman"/>
          <w:sz w:val="26"/>
          <w:szCs w:val="26"/>
        </w:rPr>
        <w:t>Инкубируют</w:t>
      </w:r>
      <w:r w:rsidRPr="00287FC2">
        <w:rPr>
          <w:rFonts w:ascii="Times New Roman" w:hAnsi="Times New Roman"/>
          <w:sz w:val="26"/>
          <w:szCs w:val="26"/>
        </w:rPr>
        <w:t xml:space="preserve"> при 37 °С на 10 мин. За этот период происходит образование сгустка. Далее сгусток переносят на обеззоленный бумажный фильтр и просушивают другим фильтром до сухого состояния, т. е. до тех пор, пока на фильтре не останется влажного пятна. Сгусток высушенного фибрина немедленно взвешивают на торсионных весах.</w:t>
      </w:r>
    </w:p>
    <w:p w:rsidR="00BC02BD" w:rsidRPr="00287FC2" w:rsidRDefault="00BC02BD" w:rsidP="00287FC2">
      <w:pPr>
        <w:pStyle w:val="NoSpacing"/>
        <w:jc w:val="both"/>
        <w:rPr>
          <w:rFonts w:ascii="Times New Roman" w:hAnsi="Times New Roman"/>
          <w:sz w:val="26"/>
          <w:szCs w:val="26"/>
        </w:rPr>
      </w:pPr>
      <w:r w:rsidRPr="003362A6">
        <w:rPr>
          <w:rFonts w:ascii="Times New Roman" w:hAnsi="Times New Roman"/>
          <w:sz w:val="26"/>
          <w:szCs w:val="26"/>
        </w:rPr>
        <w:t>В норме</w:t>
      </w:r>
      <w:r w:rsidRPr="00287FC2">
        <w:rPr>
          <w:rFonts w:ascii="Times New Roman" w:hAnsi="Times New Roman"/>
          <w:sz w:val="26"/>
          <w:szCs w:val="26"/>
        </w:rPr>
        <w:t> </w:t>
      </w:r>
      <w:r>
        <w:rPr>
          <w:rFonts w:ascii="Times New Roman" w:hAnsi="Times New Roman"/>
          <w:sz w:val="26"/>
          <w:szCs w:val="26"/>
        </w:rPr>
        <w:t>м</w:t>
      </w:r>
      <w:r w:rsidRPr="00287FC2">
        <w:rPr>
          <w:rFonts w:ascii="Times New Roman" w:hAnsi="Times New Roman"/>
          <w:sz w:val="26"/>
          <w:szCs w:val="26"/>
        </w:rPr>
        <w:t>асса сгустка составляет 9—15 мг.</w:t>
      </w:r>
    </w:p>
    <w:p w:rsidR="00BC02BD" w:rsidRPr="00287FC2" w:rsidRDefault="00BC02BD" w:rsidP="00287FC2">
      <w:pPr>
        <w:pStyle w:val="NoSpacing"/>
        <w:jc w:val="both"/>
        <w:rPr>
          <w:rFonts w:ascii="Times New Roman" w:hAnsi="Times New Roman"/>
          <w:sz w:val="26"/>
          <w:szCs w:val="26"/>
        </w:rPr>
      </w:pPr>
      <w:r w:rsidRPr="00287FC2">
        <w:rPr>
          <w:rFonts w:ascii="Times New Roman" w:hAnsi="Times New Roman"/>
          <w:sz w:val="26"/>
          <w:szCs w:val="26"/>
        </w:rPr>
        <w:t>Для определения концентрации фибриногена, выраженной в г/л, массу сгустка фибрина умножают на экспериментально установленный коэффициент 0,222.</w:t>
      </w:r>
    </w:p>
    <w:p w:rsidR="00BC02BD" w:rsidRDefault="00BC02BD" w:rsidP="000D4A24">
      <w:pPr>
        <w:pStyle w:val="NoSpacing"/>
        <w:jc w:val="both"/>
        <w:rPr>
          <w:rFonts w:ascii="Times New Roman" w:hAnsi="Times New Roman"/>
          <w:b/>
          <w:sz w:val="26"/>
          <w:szCs w:val="26"/>
        </w:rPr>
      </w:pPr>
      <w:r>
        <w:rPr>
          <w:rFonts w:ascii="Times New Roman" w:hAnsi="Times New Roman"/>
          <w:b/>
          <w:sz w:val="26"/>
          <w:szCs w:val="26"/>
        </w:rPr>
        <w:t xml:space="preserve">Недостатки: </w:t>
      </w:r>
    </w:p>
    <w:p w:rsidR="00BC02BD" w:rsidRDefault="00BC02BD" w:rsidP="000D4A24">
      <w:pPr>
        <w:pStyle w:val="NoSpacing"/>
        <w:jc w:val="both"/>
        <w:rPr>
          <w:rFonts w:ascii="Times New Roman" w:hAnsi="Times New Roman"/>
          <w:sz w:val="26"/>
          <w:szCs w:val="26"/>
        </w:rPr>
      </w:pPr>
      <w:r>
        <w:rPr>
          <w:rFonts w:ascii="Times New Roman" w:hAnsi="Times New Roman"/>
          <w:b/>
          <w:sz w:val="26"/>
          <w:szCs w:val="26"/>
        </w:rPr>
        <w:t>-</w:t>
      </w:r>
      <w:r w:rsidRPr="000566BB">
        <w:rPr>
          <w:rFonts w:ascii="Times New Roman" w:hAnsi="Times New Roman"/>
          <w:sz w:val="26"/>
          <w:szCs w:val="26"/>
        </w:rPr>
        <w:t>практически невозможно стандартизировать (</w:t>
      </w:r>
      <w:r>
        <w:rPr>
          <w:rFonts w:ascii="Times New Roman" w:hAnsi="Times New Roman"/>
          <w:sz w:val="26"/>
          <w:szCs w:val="26"/>
        </w:rPr>
        <w:t>сильное отжимание сгустка на фильтровальной бумаге приводит к потерям фибрина, слабое отжимание – к завышению уровня фибриногена);</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-сгусток может быть рыхлым вследствие наличия ингибиторов тромбообразования;</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большой объем используемой плазмы ограничивает применение в педиатрии;</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-максимальный контакт персонала с кровью.</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В настоящее время ВОЗ и Российские Ассоциации по гемостазу и методам лабораторной диагностики считают применение весовых методов (в частности, по Рутберг) не отвечающими современным требованиям.</w:t>
      </w:r>
    </w:p>
    <w:p w:rsidR="00BC02BD" w:rsidRDefault="00BC02BD" w:rsidP="000D4A24">
      <w:pPr>
        <w:pStyle w:val="NoSpacing"/>
        <w:jc w:val="both"/>
        <w:rPr>
          <w:rFonts w:ascii="Times New Roman" w:hAnsi="Times New Roman"/>
          <w:sz w:val="26"/>
          <w:szCs w:val="26"/>
        </w:rPr>
      </w:pPr>
    </w:p>
    <w:p w:rsidR="00BC02BD" w:rsidRDefault="00BC02BD" w:rsidP="000D4A24">
      <w:pPr>
        <w:pStyle w:val="NoSpacing"/>
        <w:jc w:val="both"/>
        <w:rPr>
          <w:rFonts w:ascii="Times New Roman" w:hAnsi="Times New Roman"/>
          <w:b/>
          <w:sz w:val="26"/>
          <w:szCs w:val="26"/>
        </w:rPr>
      </w:pPr>
      <w:r w:rsidRPr="006C5014">
        <w:rPr>
          <w:rFonts w:ascii="Times New Roman" w:hAnsi="Times New Roman"/>
          <w:b/>
          <w:sz w:val="26"/>
          <w:szCs w:val="26"/>
        </w:rPr>
        <w:t>2.</w:t>
      </w:r>
      <w:r>
        <w:rPr>
          <w:rFonts w:ascii="Times New Roman" w:hAnsi="Times New Roman"/>
          <w:b/>
          <w:sz w:val="26"/>
          <w:szCs w:val="26"/>
        </w:rPr>
        <w:t xml:space="preserve"> Определение фибриногена по Клауссу</w:t>
      </w:r>
    </w:p>
    <w:p w:rsidR="00BC02BD" w:rsidRDefault="00BC02BD" w:rsidP="000D4A24">
      <w:pPr>
        <w:pStyle w:val="NoSpacing"/>
        <w:jc w:val="both"/>
        <w:rPr>
          <w:rFonts w:ascii="Times New Roman" w:hAnsi="Times New Roman"/>
          <w:b/>
          <w:sz w:val="26"/>
          <w:szCs w:val="26"/>
        </w:rPr>
      </w:pP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Методом по Клауссу определяют содержание функционально активного фибриногена в плазме по калибровочной кривой, полученной с помощью плазмы-калибратора. Этот метод считается наиболее адекватным тестом, выполняемым на коагулометрах. Он основан на определении времени выпадения сгустка при добавлении очень высокой концентрации тромбина к разбавленной в 10-20 раз плазме. При этом логарифм времени выпадения сгустка прямо пропорционален логарифму концентрации фибриногена. Калибровочная кривая показывает укорочение времени свертывания при увеличении концентрации фибриногена. Если время свертывания очень короткое (</w:t>
      </w:r>
      <w:r w:rsidRPr="000566BB">
        <w:rPr>
          <w:rFonts w:ascii="Times New Roman" w:hAnsi="Times New Roman"/>
          <w:sz w:val="26"/>
          <w:szCs w:val="26"/>
        </w:rPr>
        <w:t>&lt;</w:t>
      </w:r>
      <w:r>
        <w:rPr>
          <w:rFonts w:ascii="Times New Roman" w:hAnsi="Times New Roman"/>
          <w:sz w:val="26"/>
          <w:szCs w:val="26"/>
        </w:rPr>
        <w:t>5с), то тест проводится на разведенной плазме. Гепарин не оказывает влияния на результаты определения фибриногена.</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При нормальных концентрациях фибриногена метод характеризуется коэффициентом вариации около 5%. Содержание фибриногена, определяемого данным способом, зависит от наличия в образце продуктов деградации фибрина и снижено по сравнению с результатами других методов при дисфибриногенэмии.</w:t>
      </w:r>
    </w:p>
    <w:p w:rsidR="00BC02BD" w:rsidRDefault="00BC02BD" w:rsidP="000D4A24">
      <w:pPr>
        <w:pStyle w:val="NoSpacing"/>
        <w:jc w:val="both"/>
        <w:rPr>
          <w:rFonts w:ascii="Times New Roman" w:hAnsi="Times New Roman"/>
          <w:sz w:val="26"/>
          <w:szCs w:val="26"/>
        </w:rPr>
      </w:pPr>
    </w:p>
    <w:p w:rsidR="00BC02BD" w:rsidRDefault="00BC02BD" w:rsidP="000D4A24">
      <w:pPr>
        <w:pStyle w:val="NoSpacing"/>
        <w:jc w:val="both"/>
        <w:rPr>
          <w:rFonts w:ascii="Times New Roman" w:hAnsi="Times New Roman"/>
          <w:b/>
          <w:sz w:val="26"/>
          <w:szCs w:val="26"/>
        </w:rPr>
      </w:pPr>
      <w:r w:rsidRPr="00AF41B2">
        <w:rPr>
          <w:rFonts w:ascii="Times New Roman" w:hAnsi="Times New Roman"/>
          <w:b/>
          <w:sz w:val="26"/>
          <w:szCs w:val="26"/>
        </w:rPr>
        <w:t>3.</w:t>
      </w:r>
      <w:r>
        <w:rPr>
          <w:rFonts w:ascii="Times New Roman" w:hAnsi="Times New Roman"/>
          <w:b/>
          <w:sz w:val="26"/>
          <w:szCs w:val="26"/>
        </w:rPr>
        <w:t xml:space="preserve"> Иммунохимические методы</w:t>
      </w:r>
    </w:p>
    <w:p w:rsidR="00BC02BD" w:rsidRDefault="00BC02BD" w:rsidP="000D4A24">
      <w:pPr>
        <w:pStyle w:val="NoSpacing"/>
        <w:jc w:val="both"/>
        <w:rPr>
          <w:rFonts w:ascii="Times New Roman" w:hAnsi="Times New Roman"/>
          <w:b/>
          <w:sz w:val="26"/>
          <w:szCs w:val="26"/>
        </w:rPr>
      </w:pP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Иммунохимические методы для определения фибриногена основаны на турбидиметрическом или нефелометрическом способах регистрации, использовании поликлональных антител и адаптированы на иммунохимические анализаторы.  Как правило, для каждого иммунохимического анализатора применяется специфический тест-набор на фибриноген. </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Основными недостатками иммунохимических методов является:</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длительность выполнения тестов;</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измерение концентрации белка, а не его активности;</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не дифференцируются нативный фибриноген и продукты его деградации, это особенно существенно при ведении больных на тромболитической терапии, обширных тромбозах  и ДВС-синдроме, когда происходит значительное увеличение в плазме ПДФ.</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ELISA</w:t>
      </w:r>
      <w:r>
        <w:rPr>
          <w:rFonts w:ascii="Times New Roman" w:hAnsi="Times New Roman"/>
          <w:sz w:val="26"/>
          <w:szCs w:val="26"/>
        </w:rPr>
        <w:t>-метод основан на применении специфических моноклональных антител. Однако этот метод очень дорог и пока не нашел широкого применения в лабораторной практике для определения фибриногена.</w:t>
      </w:r>
    </w:p>
    <w:p w:rsidR="00BC02BD" w:rsidRDefault="00BC02BD" w:rsidP="000D4A24">
      <w:pPr>
        <w:pStyle w:val="NoSpacing"/>
        <w:jc w:val="both"/>
        <w:rPr>
          <w:rFonts w:ascii="Times New Roman" w:hAnsi="Times New Roman"/>
          <w:sz w:val="26"/>
          <w:szCs w:val="26"/>
        </w:rPr>
      </w:pPr>
    </w:p>
    <w:p w:rsidR="00BC02BD" w:rsidRDefault="00BC02BD" w:rsidP="000D4A24">
      <w:pPr>
        <w:pStyle w:val="NoSpacing"/>
        <w:jc w:val="both"/>
        <w:rPr>
          <w:rFonts w:ascii="Times New Roman" w:hAnsi="Times New Roman"/>
          <w:b/>
          <w:sz w:val="26"/>
          <w:szCs w:val="26"/>
        </w:rPr>
      </w:pPr>
      <w:r>
        <w:rPr>
          <w:rFonts w:ascii="Times New Roman" w:hAnsi="Times New Roman"/>
          <w:b/>
          <w:sz w:val="26"/>
          <w:szCs w:val="26"/>
        </w:rPr>
        <w:t>4.</w:t>
      </w:r>
      <w:r w:rsidRPr="00561A7A">
        <w:rPr>
          <w:rFonts w:ascii="Times New Roman" w:hAnsi="Times New Roman"/>
          <w:b/>
          <w:sz w:val="26"/>
          <w:szCs w:val="26"/>
        </w:rPr>
        <w:t xml:space="preserve">Определение концентрации фибриногена в протромбиновом тесте (PT derived Fibrinogen) </w:t>
      </w:r>
    </w:p>
    <w:p w:rsidR="00BC02BD" w:rsidRPr="00561A7A" w:rsidRDefault="00BC02BD" w:rsidP="000D4A24">
      <w:pPr>
        <w:pStyle w:val="NoSpacing"/>
        <w:jc w:val="both"/>
        <w:rPr>
          <w:rFonts w:ascii="Times New Roman" w:hAnsi="Times New Roman"/>
          <w:b/>
          <w:sz w:val="26"/>
          <w:szCs w:val="26"/>
        </w:rPr>
      </w:pP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w:t>
      </w:r>
      <w:r w:rsidRPr="00561A7A">
        <w:rPr>
          <w:rFonts w:ascii="Times New Roman" w:hAnsi="Times New Roman"/>
          <w:sz w:val="26"/>
          <w:szCs w:val="26"/>
        </w:rPr>
        <w:t>Анализатор калибруется при исследовании протромбинового время плазмы (или серии разведений плазмы) с известной концентрацией фибриногена и построения графиков изменения оптической плотности по отношению к концентрации фибриногена в логарифмических шкалах</w:t>
      </w:r>
      <w:r>
        <w:rPr>
          <w:rFonts w:ascii="Times New Roman" w:hAnsi="Times New Roman"/>
          <w:sz w:val="26"/>
          <w:szCs w:val="26"/>
        </w:rPr>
        <w:t>.</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w:t>
      </w:r>
      <w:r w:rsidRPr="00561A7A">
        <w:rPr>
          <w:rFonts w:ascii="Times New Roman" w:hAnsi="Times New Roman"/>
          <w:sz w:val="26"/>
          <w:szCs w:val="26"/>
        </w:rPr>
        <w:t xml:space="preserve"> Применение PT-Fg метода обеспечивает быстрое измерение фибриногена без каких-либо дополнительных затрат</w:t>
      </w:r>
      <w:r>
        <w:rPr>
          <w:rFonts w:ascii="Times New Roman" w:hAnsi="Times New Roman"/>
          <w:sz w:val="26"/>
          <w:szCs w:val="26"/>
        </w:rPr>
        <w:t>.</w:t>
      </w:r>
      <w:r w:rsidRPr="00561A7A">
        <w:rPr>
          <w:rFonts w:ascii="Times New Roman" w:hAnsi="Times New Roman"/>
          <w:sz w:val="26"/>
          <w:szCs w:val="26"/>
        </w:rPr>
        <w:t xml:space="preserve"> </w:t>
      </w:r>
      <w:r>
        <w:rPr>
          <w:rFonts w:ascii="Times New Roman" w:hAnsi="Times New Roman"/>
          <w:sz w:val="26"/>
          <w:szCs w:val="26"/>
        </w:rPr>
        <w:t>Данный м</w:t>
      </w:r>
      <w:r w:rsidRPr="00561A7A">
        <w:rPr>
          <w:rFonts w:ascii="Times New Roman" w:hAnsi="Times New Roman"/>
          <w:sz w:val="26"/>
          <w:szCs w:val="26"/>
        </w:rPr>
        <w:t>етод применим только на автоматических анализаторах</w:t>
      </w:r>
      <w:r>
        <w:rPr>
          <w:rFonts w:ascii="Times New Roman" w:hAnsi="Times New Roman"/>
          <w:sz w:val="26"/>
          <w:szCs w:val="26"/>
        </w:rPr>
        <w:t>, и</w:t>
      </w:r>
      <w:r w:rsidRPr="00561A7A">
        <w:rPr>
          <w:rFonts w:ascii="Times New Roman" w:hAnsi="Times New Roman"/>
          <w:sz w:val="26"/>
          <w:szCs w:val="26"/>
        </w:rPr>
        <w:t xml:space="preserve"> </w:t>
      </w:r>
      <w:r>
        <w:rPr>
          <w:rFonts w:ascii="Times New Roman" w:hAnsi="Times New Roman"/>
          <w:sz w:val="26"/>
          <w:szCs w:val="26"/>
        </w:rPr>
        <w:t>р</w:t>
      </w:r>
      <w:r w:rsidRPr="00561A7A">
        <w:rPr>
          <w:rFonts w:ascii="Times New Roman" w:hAnsi="Times New Roman"/>
          <w:sz w:val="26"/>
          <w:szCs w:val="26"/>
        </w:rPr>
        <w:t>езультаты зависят от метода калибровки, типа анализатора и реагентов, и оптической прозрачности пробы</w:t>
      </w:r>
      <w:r>
        <w:rPr>
          <w:rFonts w:ascii="Times New Roman" w:hAnsi="Times New Roman"/>
          <w:sz w:val="26"/>
          <w:szCs w:val="26"/>
        </w:rPr>
        <w:t>.</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w:t>
      </w:r>
      <w:r w:rsidRPr="00561A7A">
        <w:rPr>
          <w:rFonts w:ascii="Times New Roman" w:hAnsi="Times New Roman"/>
          <w:sz w:val="26"/>
          <w:szCs w:val="26"/>
        </w:rPr>
        <w:t xml:space="preserve"> Не рекомендован к применению у больных с ДВС, заболевания</w:t>
      </w:r>
      <w:r>
        <w:rPr>
          <w:rFonts w:ascii="Times New Roman" w:hAnsi="Times New Roman"/>
          <w:sz w:val="26"/>
          <w:szCs w:val="26"/>
        </w:rPr>
        <w:t>ми</w:t>
      </w:r>
      <w:r w:rsidRPr="00561A7A">
        <w:rPr>
          <w:rFonts w:ascii="Times New Roman" w:hAnsi="Times New Roman"/>
          <w:sz w:val="26"/>
          <w:szCs w:val="26"/>
        </w:rPr>
        <w:t xml:space="preserve"> печени, почек, дисфибриногенемией, с высоким или низким уровнем фибриногена</w:t>
      </w:r>
      <w:r>
        <w:rPr>
          <w:rFonts w:ascii="Times New Roman" w:hAnsi="Times New Roman"/>
          <w:sz w:val="26"/>
          <w:szCs w:val="26"/>
        </w:rPr>
        <w:t>,</w:t>
      </w:r>
      <w:r w:rsidRPr="00561A7A">
        <w:rPr>
          <w:rFonts w:ascii="Times New Roman" w:hAnsi="Times New Roman"/>
          <w:sz w:val="26"/>
          <w:szCs w:val="26"/>
        </w:rPr>
        <w:t xml:space="preserve"> получавших антикоагулян</w:t>
      </w:r>
      <w:r>
        <w:rPr>
          <w:rFonts w:ascii="Times New Roman" w:hAnsi="Times New Roman"/>
          <w:sz w:val="26"/>
          <w:szCs w:val="26"/>
        </w:rPr>
        <w:t>ты, тромболитическую терапию.</w:t>
      </w:r>
    </w:p>
    <w:p w:rsidR="00BC02BD" w:rsidRDefault="00BC02BD" w:rsidP="000D4A24">
      <w:pPr>
        <w:pStyle w:val="NoSpacing"/>
        <w:jc w:val="both"/>
        <w:rPr>
          <w:rFonts w:ascii="Times New Roman" w:hAnsi="Times New Roman"/>
          <w:sz w:val="26"/>
          <w:szCs w:val="26"/>
        </w:rPr>
      </w:pPr>
    </w:p>
    <w:p w:rsidR="00BC02BD" w:rsidRDefault="00BC02BD" w:rsidP="000D4A24">
      <w:pPr>
        <w:pStyle w:val="NoSpacing"/>
        <w:jc w:val="both"/>
        <w:rPr>
          <w:rFonts w:ascii="Times New Roman" w:hAnsi="Times New Roman"/>
          <w:sz w:val="26"/>
          <w:szCs w:val="26"/>
        </w:rPr>
      </w:pPr>
    </w:p>
    <w:p w:rsidR="00BC02BD" w:rsidRDefault="00BC02BD" w:rsidP="000D4A24">
      <w:pPr>
        <w:pStyle w:val="NoSpacing"/>
        <w:jc w:val="both"/>
        <w:rPr>
          <w:rFonts w:ascii="Times New Roman" w:hAnsi="Times New Roman"/>
          <w:b/>
          <w:sz w:val="26"/>
          <w:szCs w:val="26"/>
        </w:rPr>
      </w:pPr>
      <w:r w:rsidRPr="002C0E3A">
        <w:rPr>
          <w:rFonts w:ascii="Times New Roman" w:hAnsi="Times New Roman"/>
          <w:b/>
          <w:sz w:val="26"/>
          <w:szCs w:val="26"/>
        </w:rPr>
        <w:t>Интерпритация результатов</w:t>
      </w:r>
    </w:p>
    <w:p w:rsidR="00BC02BD" w:rsidRDefault="00BC02BD" w:rsidP="000D4A24">
      <w:pPr>
        <w:pStyle w:val="NoSpacing"/>
        <w:jc w:val="both"/>
        <w:rPr>
          <w:rFonts w:ascii="Times New Roman" w:hAnsi="Times New Roman"/>
          <w:b/>
          <w:sz w:val="26"/>
          <w:szCs w:val="26"/>
        </w:rPr>
      </w:pP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w:t>
      </w:r>
      <w:r w:rsidRPr="002C0E3A">
        <w:rPr>
          <w:rFonts w:ascii="Times New Roman" w:hAnsi="Times New Roman"/>
          <w:sz w:val="26"/>
          <w:szCs w:val="26"/>
        </w:rPr>
        <w:t>Референтны</w:t>
      </w:r>
      <w:r>
        <w:rPr>
          <w:rFonts w:ascii="Times New Roman" w:hAnsi="Times New Roman"/>
          <w:sz w:val="26"/>
          <w:szCs w:val="26"/>
        </w:rPr>
        <w:t>й диапазон для фибриногена в плазме составляет 1,8 – 4,0 г/л, практически не зависит т возраста и пола. Печень синтезирует 2-</w:t>
      </w:r>
      <w:smartTag w:uri="urn:schemas-microsoft-com:office:smarttags" w:element="metricconverter">
        <w:smartTagPr>
          <w:attr w:name="ProductID" w:val="5 г"/>
        </w:smartTagPr>
        <w:r>
          <w:rPr>
            <w:rFonts w:ascii="Times New Roman" w:hAnsi="Times New Roman"/>
            <w:sz w:val="26"/>
            <w:szCs w:val="26"/>
          </w:rPr>
          <w:t>5 г</w:t>
        </w:r>
      </w:smartTag>
      <w:r>
        <w:rPr>
          <w:rFonts w:ascii="Times New Roman" w:hAnsi="Times New Roman"/>
          <w:sz w:val="26"/>
          <w:szCs w:val="26"/>
        </w:rPr>
        <w:t xml:space="preserve"> фибриногена в день,</w:t>
      </w:r>
      <w:r w:rsidRPr="000A235C">
        <w:rPr>
          <w:rFonts w:ascii="Times New Roman" w:hAnsi="Times New Roman"/>
          <w:sz w:val="26"/>
          <w:szCs w:val="26"/>
        </w:rPr>
        <w:t xml:space="preserve"> </w:t>
      </w:r>
      <w:r>
        <w:rPr>
          <w:rFonts w:ascii="Times New Roman" w:hAnsi="Times New Roman"/>
          <w:sz w:val="26"/>
          <w:szCs w:val="26"/>
        </w:rPr>
        <w:t>время полувыведения фибриногена из крови составляет около 4 дней.</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Фибриноген – острофазный белок. Концентрация его может превышать 10 г/л при тяжелых бактериальных ифекциях, при травме и тромбозе. Повышение уровня фибриногена в острой фазе воспаления, как правило, имеет транзиторный характер. У курящих людей уровень фибриногена в плазме крови несколько выше, чем у некурящих. К значительному росту фибриногена приводят заболевания почек, коллагенозы, ночная пароксизмальная гемоглобинурия, новообразования (рак легкого), уровень фибриногена может повышаться при беременности, при приеме гормональных противозачаточных препаратов. При атеросклерозе наблюдается устойчивое увеличение фибриногена, трудно корригируемое лекарственными препаратами.  Обнаружено, что повышение уровня фибриногена в плазме крови больных сердечно-сосудистыми заболеваниями предшествует развитию инфаркта миокарда и инсульта. Корреляция между уровнем фибриногена и развитием этих осложнений особенно четко прослеживается у пациентов молодого и среднего возраста. </w:t>
      </w:r>
    </w:p>
    <w:p w:rsidR="00BC02BD" w:rsidRDefault="00BC02BD" w:rsidP="000D4A24">
      <w:pPr>
        <w:pStyle w:val="NoSpacing"/>
        <w:jc w:val="both"/>
        <w:rPr>
          <w:rFonts w:ascii="Times New Roman" w:hAnsi="Times New Roman"/>
          <w:sz w:val="26"/>
          <w:szCs w:val="26"/>
        </w:rPr>
      </w:pPr>
      <w:r>
        <w:rPr>
          <w:rFonts w:ascii="Times New Roman" w:hAnsi="Times New Roman"/>
          <w:sz w:val="26"/>
          <w:szCs w:val="26"/>
        </w:rPr>
        <w:t xml:space="preserve">     Снижение концентрации фибриногена в плазме наблюдается при врожденном дефиците фибриногена, дис-/гипо-,афибриногенемиях, печеночно-клеточной недостаточности, ДВС- синдроме, острых фибринолитических состояниях, поражениях костного мозга (лейкоз, опухолевые метастазы), при инфекционном мононуклеозе.</w:t>
      </w:r>
    </w:p>
    <w:p w:rsidR="00BC02BD" w:rsidRDefault="00BC02BD" w:rsidP="000D4A24">
      <w:pPr>
        <w:pStyle w:val="NoSpacing"/>
        <w:jc w:val="both"/>
        <w:rPr>
          <w:rFonts w:ascii="Times New Roman" w:hAnsi="Times New Roman"/>
          <w:sz w:val="26"/>
          <w:szCs w:val="26"/>
        </w:rPr>
      </w:pPr>
    </w:p>
    <w:p w:rsidR="00BC02BD" w:rsidRDefault="00BC02BD" w:rsidP="006E29D0">
      <w:pPr>
        <w:spacing w:after="0" w:line="240" w:lineRule="auto"/>
        <w:ind w:firstLine="708"/>
        <w:rPr>
          <w:rFonts w:ascii="Times New Roman" w:hAnsi="Times New Roman"/>
          <w:sz w:val="24"/>
          <w:szCs w:val="24"/>
        </w:rPr>
      </w:pPr>
    </w:p>
    <w:p w:rsidR="00BC02BD" w:rsidRDefault="00BC02BD" w:rsidP="000C6CF3">
      <w:pPr>
        <w:spacing w:after="0" w:line="240" w:lineRule="auto"/>
        <w:ind w:firstLine="708"/>
        <w:jc w:val="right"/>
        <w:rPr>
          <w:rFonts w:ascii="Times New Roman" w:hAnsi="Times New Roman"/>
          <w:sz w:val="24"/>
          <w:szCs w:val="24"/>
        </w:rPr>
      </w:pPr>
      <w:r>
        <w:rPr>
          <w:rFonts w:ascii="Times New Roman" w:hAnsi="Times New Roman"/>
          <w:sz w:val="24"/>
          <w:szCs w:val="24"/>
        </w:rPr>
        <w:t xml:space="preserve">Врачи клинической лабораторной диагностики ГЦЛГ: </w:t>
      </w:r>
    </w:p>
    <w:p w:rsidR="00BC02BD" w:rsidRDefault="00BC02BD" w:rsidP="000C6CF3">
      <w:pPr>
        <w:spacing w:after="0" w:line="240" w:lineRule="auto"/>
        <w:ind w:firstLine="708"/>
        <w:jc w:val="right"/>
        <w:rPr>
          <w:rFonts w:ascii="Times New Roman" w:hAnsi="Times New Roman"/>
          <w:sz w:val="24"/>
          <w:szCs w:val="24"/>
        </w:rPr>
      </w:pPr>
      <w:r>
        <w:rPr>
          <w:rFonts w:ascii="Times New Roman" w:hAnsi="Times New Roman"/>
          <w:sz w:val="24"/>
          <w:szCs w:val="24"/>
        </w:rPr>
        <w:t>Климова Н. И., Крашенинникова О. А.</w:t>
      </w:r>
    </w:p>
    <w:p w:rsidR="00BC02BD" w:rsidRPr="002C0E3A" w:rsidRDefault="00BC02BD" w:rsidP="000D4A24">
      <w:pPr>
        <w:pStyle w:val="NoSpacing"/>
        <w:jc w:val="both"/>
        <w:rPr>
          <w:rFonts w:ascii="Times New Roman" w:hAnsi="Times New Roman"/>
          <w:sz w:val="26"/>
          <w:szCs w:val="26"/>
        </w:rPr>
      </w:pPr>
    </w:p>
    <w:sectPr w:rsidR="00BC02BD" w:rsidRPr="002C0E3A" w:rsidSect="009A5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626"/>
    <w:rsid w:val="00043266"/>
    <w:rsid w:val="000566BB"/>
    <w:rsid w:val="000A235C"/>
    <w:rsid w:val="000C6CF3"/>
    <w:rsid w:val="000D4A24"/>
    <w:rsid w:val="00235773"/>
    <w:rsid w:val="00247A1B"/>
    <w:rsid w:val="00287FC2"/>
    <w:rsid w:val="002C0E3A"/>
    <w:rsid w:val="003362A6"/>
    <w:rsid w:val="00561A7A"/>
    <w:rsid w:val="005A1A63"/>
    <w:rsid w:val="006C3226"/>
    <w:rsid w:val="006C5014"/>
    <w:rsid w:val="006C5954"/>
    <w:rsid w:val="006E29D0"/>
    <w:rsid w:val="008476BB"/>
    <w:rsid w:val="008C047A"/>
    <w:rsid w:val="009A529C"/>
    <w:rsid w:val="00A30132"/>
    <w:rsid w:val="00AF41B2"/>
    <w:rsid w:val="00B072D1"/>
    <w:rsid w:val="00B63626"/>
    <w:rsid w:val="00BC02BD"/>
    <w:rsid w:val="00E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9C"/>
    <w:pPr>
      <w:spacing w:after="200" w:line="276" w:lineRule="auto"/>
    </w:pPr>
  </w:style>
  <w:style w:type="paragraph" w:styleId="Heading1">
    <w:name w:val="heading 1"/>
    <w:basedOn w:val="Normal"/>
    <w:link w:val="Heading1Char"/>
    <w:uiPriority w:val="99"/>
    <w:qFormat/>
    <w:rsid w:val="00287FC2"/>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7FC2"/>
    <w:rPr>
      <w:rFonts w:ascii="Times New Roman" w:hAnsi="Times New Roman"/>
      <w:b/>
      <w:kern w:val="36"/>
      <w:sz w:val="48"/>
    </w:rPr>
  </w:style>
  <w:style w:type="paragraph" w:styleId="NoSpacing">
    <w:name w:val="No Spacing"/>
    <w:uiPriority w:val="99"/>
    <w:qFormat/>
    <w:rsid w:val="00B63626"/>
  </w:style>
  <w:style w:type="paragraph" w:styleId="NormalWeb">
    <w:name w:val="Normal (Web)"/>
    <w:basedOn w:val="Normal"/>
    <w:uiPriority w:val="99"/>
    <w:semiHidden/>
    <w:rsid w:val="00287FC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00148">
      <w:marLeft w:val="0"/>
      <w:marRight w:val="0"/>
      <w:marTop w:val="0"/>
      <w:marBottom w:val="0"/>
      <w:divBdr>
        <w:top w:val="none" w:sz="0" w:space="0" w:color="auto"/>
        <w:left w:val="none" w:sz="0" w:space="0" w:color="auto"/>
        <w:bottom w:val="none" w:sz="0" w:space="0" w:color="auto"/>
        <w:right w:val="none" w:sz="0" w:space="0" w:color="auto"/>
      </w:divBdr>
    </w:div>
    <w:div w:id="1040400149">
      <w:marLeft w:val="0"/>
      <w:marRight w:val="0"/>
      <w:marTop w:val="0"/>
      <w:marBottom w:val="0"/>
      <w:divBdr>
        <w:top w:val="none" w:sz="0" w:space="0" w:color="auto"/>
        <w:left w:val="none" w:sz="0" w:space="0" w:color="auto"/>
        <w:bottom w:val="none" w:sz="0" w:space="0" w:color="auto"/>
        <w:right w:val="none" w:sz="0" w:space="0" w:color="auto"/>
      </w:divBdr>
    </w:div>
    <w:div w:id="1040400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3</Pages>
  <Words>1059</Words>
  <Characters>6037</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7</cp:revision>
  <dcterms:created xsi:type="dcterms:W3CDTF">2019-05-24T06:32:00Z</dcterms:created>
  <dcterms:modified xsi:type="dcterms:W3CDTF">2019-05-30T10:01:00Z</dcterms:modified>
</cp:coreProperties>
</file>