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A6" w:rsidRPr="00D8115D" w:rsidRDefault="00A47C11" w:rsidP="002A02A6">
      <w:pPr>
        <w:widowControl w:val="0"/>
        <w:spacing w:after="0" w:line="240" w:lineRule="auto"/>
        <w:ind w:firstLine="567"/>
        <w:jc w:val="both"/>
        <w:rPr>
          <w:rFonts w:ascii="Times New Roman" w:eastAsia="Times New Roman" w:hAnsi="Times New Roman"/>
          <w:b/>
          <w:i/>
          <w:color w:val="000000"/>
          <w:sz w:val="24"/>
          <w:szCs w:val="24"/>
          <w:lang w:eastAsia="ru-RU" w:bidi="ru-RU"/>
        </w:rPr>
      </w:pPr>
      <w:r>
        <w:rPr>
          <w:noProof/>
          <w:lang w:eastAsia="ru-RU"/>
        </w:rPr>
        <w:drawing>
          <wp:inline distT="0" distB="0" distL="0" distR="0">
            <wp:extent cx="2809875" cy="2162175"/>
            <wp:effectExtent l="19050" t="0" r="9525" b="0"/>
            <wp:docPr id="1" name="Рисунок 1" descr="https://avatars.mds.yandex.net/get-images-cbir/987270/BB4EnqWoRUyJ2lJVTAeTjw447/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images-cbir/987270/BB4EnqWoRUyJ2lJVTAeTjw447/ocr"/>
                    <pic:cNvPicPr>
                      <a:picLocks noChangeAspect="1" noChangeArrowheads="1"/>
                    </pic:cNvPicPr>
                  </pic:nvPicPr>
                  <pic:blipFill>
                    <a:blip r:embed="rId5" cstate="print"/>
                    <a:srcRect/>
                    <a:stretch>
                      <a:fillRect/>
                    </a:stretch>
                  </pic:blipFill>
                  <pic:spPr bwMode="auto">
                    <a:xfrm>
                      <a:off x="0" y="0"/>
                      <a:ext cx="2809875" cy="2162175"/>
                    </a:xfrm>
                    <a:prstGeom prst="rect">
                      <a:avLst/>
                    </a:prstGeom>
                    <a:noFill/>
                    <a:ln w="9525">
                      <a:noFill/>
                      <a:miter lim="800000"/>
                      <a:headEnd/>
                      <a:tailEnd/>
                    </a:ln>
                  </pic:spPr>
                </pic:pic>
              </a:graphicData>
            </a:graphic>
          </wp:inline>
        </w:drawing>
      </w:r>
      <w:r w:rsidR="002A02A6" w:rsidRPr="00D8115D">
        <w:rPr>
          <w:rFonts w:ascii="Times New Roman" w:eastAsia="Times New Roman" w:hAnsi="Times New Roman"/>
          <w:b/>
          <w:i/>
          <w:color w:val="000000"/>
          <w:sz w:val="24"/>
          <w:szCs w:val="24"/>
          <w:lang w:eastAsia="ru-RU" w:bidi="ru-RU"/>
        </w:rPr>
        <w:t xml:space="preserve">Как решается вопрос об установлении группы инвалидности в бюро </w:t>
      </w:r>
      <w:r w:rsidR="002A02A6">
        <w:rPr>
          <w:rFonts w:ascii="Times New Roman" w:eastAsia="Times New Roman" w:hAnsi="Times New Roman"/>
          <w:b/>
          <w:i/>
          <w:color w:val="000000"/>
          <w:sz w:val="24"/>
          <w:szCs w:val="24"/>
          <w:lang w:eastAsia="ru-RU" w:bidi="ru-RU"/>
        </w:rPr>
        <w:t>медико-социальной экспертизы</w:t>
      </w:r>
      <w:r w:rsidR="002A02A6" w:rsidRPr="00D8115D">
        <w:rPr>
          <w:rFonts w:ascii="Times New Roman" w:eastAsia="Times New Roman" w:hAnsi="Times New Roman"/>
          <w:b/>
          <w:i/>
          <w:color w:val="000000"/>
          <w:sz w:val="24"/>
          <w:szCs w:val="24"/>
          <w:lang w:eastAsia="ru-RU" w:bidi="ru-RU"/>
        </w:rPr>
        <w:t>?</w:t>
      </w:r>
    </w:p>
    <w:p w:rsidR="002A02A6" w:rsidRDefault="002A02A6" w:rsidP="002A02A6">
      <w:pPr>
        <w:widowControl w:val="0"/>
        <w:spacing w:after="0" w:line="240" w:lineRule="auto"/>
        <w:ind w:firstLine="567"/>
        <w:jc w:val="both"/>
        <w:rPr>
          <w:rFonts w:ascii="Times New Roman" w:eastAsia="Times New Roman" w:hAnsi="Times New Roman"/>
          <w:color w:val="000000"/>
          <w:sz w:val="24"/>
          <w:szCs w:val="24"/>
          <w:lang w:eastAsia="ru-RU" w:bidi="ru-RU"/>
        </w:rPr>
      </w:pPr>
    </w:p>
    <w:p w:rsidR="002A02A6" w:rsidRPr="001848B5" w:rsidRDefault="002A02A6" w:rsidP="002A02A6">
      <w:pPr>
        <w:widowControl w:val="0"/>
        <w:spacing w:after="0"/>
        <w:ind w:firstLine="567"/>
        <w:jc w:val="both"/>
        <w:rPr>
          <w:rFonts w:ascii="Times New Roman" w:eastAsia="Times New Roman" w:hAnsi="Times New Roman"/>
          <w:i/>
          <w:color w:val="000000"/>
          <w:sz w:val="24"/>
          <w:szCs w:val="24"/>
          <w:lang w:eastAsia="ru-RU" w:bidi="ru-RU"/>
        </w:rPr>
      </w:pPr>
      <w:r>
        <w:rPr>
          <w:rFonts w:ascii="Times New Roman" w:eastAsia="Times New Roman" w:hAnsi="Times New Roman"/>
          <w:color w:val="000000"/>
          <w:sz w:val="24"/>
          <w:szCs w:val="24"/>
          <w:lang w:eastAsia="ru-RU" w:bidi="ru-RU"/>
        </w:rPr>
        <w:t xml:space="preserve">В настоящее время, пациент в медицинской организации, направляющей на медико-социальную экспертизу, оформляет «Согласие на направление на МСЭ». При оформлении согласия </w:t>
      </w:r>
      <w:r>
        <w:rPr>
          <w:rFonts w:ascii="Times New Roman" w:eastAsia="Times New Roman" w:hAnsi="Times New Roman" w:cs="Times New Roman"/>
          <w:color w:val="000000"/>
          <w:sz w:val="24"/>
          <w:szCs w:val="24"/>
          <w:lang w:eastAsia="ru-RU"/>
        </w:rPr>
        <w:t xml:space="preserve">гражданин </w:t>
      </w:r>
      <w:r>
        <w:rPr>
          <w:rFonts w:ascii="Times New Roman" w:eastAsia="Times New Roman" w:hAnsi="Times New Roman"/>
          <w:color w:val="000000"/>
          <w:sz w:val="24"/>
          <w:szCs w:val="24"/>
          <w:lang w:eastAsia="ru-RU" w:bidi="ru-RU"/>
        </w:rPr>
        <w:t>выбирает форму прохождения освидетельствования  «с личным присутствием» или «без личного присутствия».</w:t>
      </w:r>
      <w:r w:rsidRPr="00620E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соответствии с выбором освидетельствование проводится заочно по документам пациента или </w:t>
      </w:r>
      <w:proofErr w:type="spellStart"/>
      <w:r>
        <w:rPr>
          <w:rFonts w:ascii="Times New Roman" w:eastAsia="Times New Roman" w:hAnsi="Times New Roman" w:cs="Times New Roman"/>
          <w:color w:val="000000"/>
          <w:sz w:val="24"/>
          <w:szCs w:val="24"/>
          <w:lang w:eastAsia="ru-RU"/>
        </w:rPr>
        <w:t>очно</w:t>
      </w:r>
      <w:proofErr w:type="spellEnd"/>
      <w:r>
        <w:rPr>
          <w:rFonts w:ascii="Times New Roman" w:eastAsia="Times New Roman" w:hAnsi="Times New Roman" w:cs="Times New Roman"/>
          <w:color w:val="000000"/>
          <w:sz w:val="24"/>
          <w:szCs w:val="24"/>
          <w:lang w:eastAsia="ru-RU"/>
        </w:rPr>
        <w:t xml:space="preserve">, в присутствии пациента.  </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Медико-социальную экспертизу</w:t>
      </w:r>
      <w:r w:rsidRPr="00E4496A">
        <w:rPr>
          <w:rFonts w:ascii="Times New Roman" w:eastAsia="Times New Roman" w:hAnsi="Times New Roman" w:cs="Times New Roman"/>
          <w:color w:val="000000"/>
          <w:sz w:val="24"/>
          <w:szCs w:val="24"/>
          <w:lang w:eastAsia="ru-RU"/>
        </w:rPr>
        <w:t xml:space="preserve"> проводят</w:t>
      </w:r>
      <w:r>
        <w:rPr>
          <w:rFonts w:ascii="Times New Roman" w:eastAsia="Times New Roman" w:hAnsi="Times New Roman" w:cs="Times New Roman"/>
          <w:color w:val="000000"/>
          <w:sz w:val="24"/>
          <w:szCs w:val="24"/>
          <w:lang w:eastAsia="ru-RU"/>
        </w:rPr>
        <w:t xml:space="preserve"> врачи-эксперты</w:t>
      </w:r>
      <w:r w:rsidRPr="00E4496A">
        <w:rPr>
          <w:rFonts w:ascii="Times New Roman" w:eastAsia="Times New Roman" w:hAnsi="Times New Roman" w:cs="Times New Roman"/>
          <w:color w:val="000000"/>
          <w:sz w:val="24"/>
          <w:szCs w:val="24"/>
          <w:lang w:eastAsia="ru-RU"/>
        </w:rPr>
        <w:t xml:space="preserve"> на основании всеобъемлющей, комплексной оценки состояния организма, учитывающей анализ клинических, функциональных, профессиональных, социальных, психологических данных лица, которое освидетельствуется. В процессе освидетельствования, на основе критериев и классификаций, принимается решение о признании</w:t>
      </w:r>
      <w:r>
        <w:rPr>
          <w:rFonts w:ascii="Times New Roman" w:eastAsia="Times New Roman" w:hAnsi="Times New Roman" w:cs="Times New Roman"/>
          <w:color w:val="000000"/>
          <w:sz w:val="24"/>
          <w:szCs w:val="24"/>
          <w:lang w:eastAsia="ru-RU"/>
        </w:rPr>
        <w:t xml:space="preserve"> или непризнании</w:t>
      </w:r>
      <w:r w:rsidRPr="00E4496A">
        <w:rPr>
          <w:rFonts w:ascii="Times New Roman" w:eastAsia="Times New Roman" w:hAnsi="Times New Roman" w:cs="Times New Roman"/>
          <w:color w:val="000000"/>
          <w:sz w:val="24"/>
          <w:szCs w:val="24"/>
          <w:lang w:eastAsia="ru-RU"/>
        </w:rPr>
        <w:t xml:space="preserve"> лица инвалидом.</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Вплоть до</w:t>
      </w:r>
      <w:r>
        <w:rPr>
          <w:rFonts w:ascii="Times New Roman" w:eastAsia="Times New Roman" w:hAnsi="Times New Roman" w:cs="Times New Roman"/>
          <w:color w:val="000000"/>
          <w:sz w:val="24"/>
          <w:szCs w:val="24"/>
          <w:lang w:eastAsia="ru-RU"/>
        </w:rPr>
        <w:t xml:space="preserve"> сентября 2014 года, проводя медико-социальную экспертизу</w:t>
      </w:r>
      <w:r w:rsidRPr="00921A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врачи – эксперты </w:t>
      </w:r>
      <w:r w:rsidRPr="00921A4A">
        <w:rPr>
          <w:rFonts w:ascii="Times New Roman" w:eastAsia="Times New Roman" w:hAnsi="Times New Roman" w:cs="Times New Roman"/>
          <w:color w:val="000000"/>
          <w:sz w:val="24"/>
          <w:szCs w:val="24"/>
          <w:lang w:eastAsia="ru-RU"/>
        </w:rPr>
        <w:t>использовали классификации и критерии</w:t>
      </w:r>
      <w:r>
        <w:rPr>
          <w:rFonts w:ascii="Times New Roman" w:eastAsia="Times New Roman" w:hAnsi="Times New Roman" w:cs="Times New Roman"/>
          <w:color w:val="000000"/>
          <w:sz w:val="24"/>
          <w:szCs w:val="24"/>
          <w:lang w:eastAsia="ru-RU"/>
        </w:rPr>
        <w:t>, по</w:t>
      </w:r>
      <w:r w:rsidRPr="00921A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которым </w:t>
      </w:r>
      <w:r w:rsidRPr="00921A4A">
        <w:rPr>
          <w:rFonts w:ascii="Times New Roman" w:eastAsia="Times New Roman" w:hAnsi="Times New Roman" w:cs="Times New Roman"/>
          <w:color w:val="000000"/>
          <w:sz w:val="24"/>
          <w:szCs w:val="24"/>
          <w:lang w:eastAsia="ru-RU"/>
        </w:rPr>
        <w:t xml:space="preserve">определяли четыре степени </w:t>
      </w:r>
      <w:r>
        <w:rPr>
          <w:rFonts w:ascii="Times New Roman" w:eastAsia="Times New Roman" w:hAnsi="Times New Roman" w:cs="Times New Roman"/>
          <w:color w:val="000000"/>
          <w:sz w:val="24"/>
          <w:szCs w:val="24"/>
          <w:lang w:eastAsia="ru-RU"/>
        </w:rPr>
        <w:t>стойкого нарушения функций организма</w:t>
      </w:r>
      <w:r w:rsidRPr="00921A4A">
        <w:rPr>
          <w:rFonts w:ascii="Times New Roman" w:eastAsia="Times New Roman" w:hAnsi="Times New Roman" w:cs="Times New Roman"/>
          <w:color w:val="000000"/>
          <w:sz w:val="24"/>
          <w:szCs w:val="24"/>
          <w:lang w:eastAsia="ru-RU"/>
        </w:rPr>
        <w:t>:</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I степень — стойкие незначительные нарушения;</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II степень — стойкие умеренные нарушения;</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III степень — стойкие выраженные нарушения;</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D111A1">
        <w:rPr>
          <w:rFonts w:ascii="Times New Roman" w:eastAsia="Times New Roman" w:hAnsi="Times New Roman" w:cs="Times New Roman"/>
          <w:color w:val="000000"/>
          <w:sz w:val="24"/>
          <w:szCs w:val="24"/>
          <w:lang w:eastAsia="ru-RU"/>
        </w:rPr>
        <w:t xml:space="preserve">IV степень — стойкие значительно выраженные нарушения </w:t>
      </w:r>
    </w:p>
    <w:p w:rsidR="002A02A6" w:rsidRPr="00D111A1" w:rsidRDefault="002A02A6" w:rsidP="002A02A6">
      <w:pPr>
        <w:spacing w:after="0"/>
        <w:ind w:firstLine="567"/>
        <w:jc w:val="both"/>
        <w:rPr>
          <w:rFonts w:ascii="Times New Roman" w:eastAsia="Times New Roman" w:hAnsi="Times New Roman" w:cs="Times New Roman"/>
          <w:color w:val="000000"/>
          <w:sz w:val="24"/>
          <w:szCs w:val="24"/>
          <w:lang w:eastAsia="ru-RU"/>
        </w:rPr>
      </w:pPr>
      <w:r w:rsidRPr="00D111A1">
        <w:rPr>
          <w:rFonts w:ascii="Times New Roman" w:eastAsia="Times New Roman" w:hAnsi="Times New Roman" w:cs="Times New Roman"/>
          <w:color w:val="000000"/>
          <w:sz w:val="24"/>
          <w:szCs w:val="24"/>
          <w:lang w:eastAsia="ru-RU"/>
        </w:rPr>
        <w:t>В 2012 г</w:t>
      </w:r>
      <w:r>
        <w:rPr>
          <w:rFonts w:ascii="Times New Roman" w:eastAsia="Times New Roman" w:hAnsi="Times New Roman" w:cs="Times New Roman"/>
          <w:color w:val="000000"/>
          <w:sz w:val="24"/>
          <w:szCs w:val="24"/>
          <w:lang w:eastAsia="ru-RU"/>
        </w:rPr>
        <w:t>оду</w:t>
      </w:r>
      <w:r w:rsidRPr="00D111A1">
        <w:rPr>
          <w:rFonts w:ascii="Times New Roman" w:eastAsia="Times New Roman" w:hAnsi="Times New Roman" w:cs="Times New Roman"/>
          <w:color w:val="000000"/>
          <w:sz w:val="24"/>
          <w:szCs w:val="24"/>
          <w:lang w:eastAsia="ru-RU"/>
        </w:rPr>
        <w:t xml:space="preserve"> Ген</w:t>
      </w:r>
      <w:r>
        <w:rPr>
          <w:rFonts w:ascii="Times New Roman" w:eastAsia="Times New Roman" w:hAnsi="Times New Roman" w:cs="Times New Roman"/>
          <w:color w:val="000000"/>
          <w:sz w:val="24"/>
          <w:szCs w:val="24"/>
          <w:lang w:eastAsia="ru-RU"/>
        </w:rPr>
        <w:t xml:space="preserve">еральная </w:t>
      </w:r>
      <w:r w:rsidRPr="00D111A1">
        <w:rPr>
          <w:rFonts w:ascii="Times New Roman" w:eastAsia="Times New Roman" w:hAnsi="Times New Roman" w:cs="Times New Roman"/>
          <w:color w:val="000000"/>
          <w:sz w:val="24"/>
          <w:szCs w:val="24"/>
          <w:lang w:eastAsia="ru-RU"/>
        </w:rPr>
        <w:t>прокуратура Р</w:t>
      </w:r>
      <w:r>
        <w:rPr>
          <w:rFonts w:ascii="Times New Roman" w:eastAsia="Times New Roman" w:hAnsi="Times New Roman" w:cs="Times New Roman"/>
          <w:color w:val="000000"/>
          <w:sz w:val="24"/>
          <w:szCs w:val="24"/>
          <w:lang w:eastAsia="ru-RU"/>
        </w:rPr>
        <w:t xml:space="preserve">оссийской </w:t>
      </w:r>
      <w:r w:rsidRPr="00D111A1">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едерации, провела</w:t>
      </w:r>
      <w:r w:rsidRPr="00D111A1">
        <w:rPr>
          <w:rFonts w:ascii="Times New Roman" w:eastAsia="Times New Roman" w:hAnsi="Times New Roman" w:cs="Times New Roman"/>
          <w:color w:val="000000"/>
          <w:sz w:val="24"/>
          <w:szCs w:val="24"/>
          <w:lang w:eastAsia="ru-RU"/>
        </w:rPr>
        <w:t xml:space="preserve"> экспертизу </w:t>
      </w:r>
      <w:r>
        <w:rPr>
          <w:rFonts w:ascii="Times New Roman" w:eastAsia="Times New Roman" w:hAnsi="Times New Roman" w:cs="Times New Roman"/>
          <w:color w:val="000000"/>
          <w:sz w:val="24"/>
          <w:szCs w:val="24"/>
          <w:lang w:eastAsia="ru-RU"/>
        </w:rPr>
        <w:t>этих критериев и</w:t>
      </w:r>
      <w:r w:rsidRPr="00D111A1">
        <w:rPr>
          <w:rFonts w:ascii="Times New Roman" w:eastAsia="Times New Roman" w:hAnsi="Times New Roman" w:cs="Times New Roman"/>
          <w:color w:val="000000"/>
          <w:sz w:val="24"/>
          <w:szCs w:val="24"/>
          <w:lang w:eastAsia="ru-RU"/>
        </w:rPr>
        <w:t xml:space="preserve"> установила, что </w:t>
      </w:r>
      <w:r>
        <w:rPr>
          <w:rFonts w:ascii="Times New Roman" w:eastAsia="Times New Roman" w:hAnsi="Times New Roman" w:cs="Times New Roman"/>
          <w:color w:val="000000"/>
          <w:sz w:val="24"/>
          <w:szCs w:val="24"/>
          <w:lang w:eastAsia="ru-RU"/>
        </w:rPr>
        <w:t xml:space="preserve">они </w:t>
      </w:r>
      <w:r w:rsidRPr="00D111A1">
        <w:rPr>
          <w:rFonts w:ascii="Times New Roman" w:eastAsia="Times New Roman" w:hAnsi="Times New Roman" w:cs="Times New Roman"/>
          <w:color w:val="000000"/>
          <w:sz w:val="24"/>
          <w:szCs w:val="24"/>
          <w:lang w:eastAsia="ru-RU"/>
        </w:rPr>
        <w:t xml:space="preserve">содержит коррупционные факторы. </w:t>
      </w:r>
      <w:proofErr w:type="gramStart"/>
      <w:r w:rsidRPr="00D111A1">
        <w:rPr>
          <w:rFonts w:ascii="Times New Roman" w:eastAsia="Times New Roman" w:hAnsi="Times New Roman" w:cs="Times New Roman"/>
          <w:color w:val="000000"/>
          <w:sz w:val="24"/>
          <w:szCs w:val="24"/>
          <w:lang w:eastAsia="ru-RU"/>
        </w:rPr>
        <w:t>Определения «стойкие», «незначительные», «выраженные», «умеренные», «значительно выраженные»</w:t>
      </w:r>
      <w:r>
        <w:rPr>
          <w:rFonts w:ascii="Times New Roman" w:eastAsia="Times New Roman" w:hAnsi="Times New Roman" w:cs="Times New Roman"/>
          <w:color w:val="000000"/>
          <w:sz w:val="24"/>
          <w:szCs w:val="24"/>
          <w:lang w:eastAsia="ru-RU"/>
        </w:rPr>
        <w:t xml:space="preserve"> не имели четких характеристик</w:t>
      </w:r>
      <w:r w:rsidRPr="00D111A1">
        <w:rPr>
          <w:rFonts w:ascii="Times New Roman" w:eastAsia="Times New Roman" w:hAnsi="Times New Roman" w:cs="Times New Roman"/>
          <w:color w:val="000000"/>
          <w:sz w:val="24"/>
          <w:szCs w:val="24"/>
          <w:lang w:eastAsia="ru-RU"/>
        </w:rPr>
        <w:t>.</w:t>
      </w:r>
      <w:proofErr w:type="gramEnd"/>
      <w:r w:rsidRPr="00D111A1">
        <w:rPr>
          <w:rFonts w:ascii="Times New Roman" w:eastAsia="Times New Roman" w:hAnsi="Times New Roman" w:cs="Times New Roman"/>
          <w:color w:val="000000"/>
          <w:sz w:val="24"/>
          <w:szCs w:val="24"/>
          <w:lang w:eastAsia="ru-RU"/>
        </w:rPr>
        <w:t xml:space="preserve"> Как следствие, неконкретность и неоднозначность </w:t>
      </w:r>
      <w:r>
        <w:rPr>
          <w:rFonts w:ascii="Times New Roman" w:eastAsia="Times New Roman" w:hAnsi="Times New Roman" w:cs="Times New Roman"/>
          <w:color w:val="000000"/>
          <w:sz w:val="24"/>
          <w:szCs w:val="24"/>
          <w:lang w:eastAsia="ru-RU"/>
        </w:rPr>
        <w:t>их трактовки комиссиями. Было вынесено предписание о  необходимости</w:t>
      </w:r>
      <w:r w:rsidRPr="00D111A1">
        <w:rPr>
          <w:rFonts w:ascii="Times New Roman" w:eastAsia="Times New Roman" w:hAnsi="Times New Roman" w:cs="Times New Roman"/>
          <w:color w:val="000000"/>
          <w:sz w:val="24"/>
          <w:szCs w:val="24"/>
          <w:lang w:eastAsia="ru-RU"/>
        </w:rPr>
        <w:t xml:space="preserve"> корректировки</w:t>
      </w:r>
      <w:r>
        <w:rPr>
          <w:rFonts w:ascii="Times New Roman" w:eastAsia="Times New Roman" w:hAnsi="Times New Roman" w:cs="Times New Roman"/>
          <w:color w:val="000000"/>
          <w:sz w:val="24"/>
          <w:szCs w:val="24"/>
          <w:lang w:eastAsia="ru-RU"/>
        </w:rPr>
        <w:t xml:space="preserve"> приказа, утверждающего критерии и классификации</w:t>
      </w:r>
      <w:r w:rsidRPr="00D111A1">
        <w:rPr>
          <w:rFonts w:ascii="Times New Roman" w:eastAsia="Times New Roman" w:hAnsi="Times New Roman" w:cs="Times New Roman"/>
          <w:color w:val="000000"/>
          <w:sz w:val="24"/>
          <w:szCs w:val="24"/>
          <w:lang w:eastAsia="ru-RU"/>
        </w:rPr>
        <w:t>.</w:t>
      </w:r>
    </w:p>
    <w:p w:rsidR="002A02A6" w:rsidRPr="00921A4A"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Учитывая требов</w:t>
      </w:r>
      <w:r>
        <w:rPr>
          <w:rFonts w:ascii="Times New Roman" w:eastAsia="Times New Roman" w:hAnsi="Times New Roman" w:cs="Times New Roman"/>
          <w:color w:val="000000"/>
          <w:sz w:val="24"/>
          <w:szCs w:val="24"/>
          <w:lang w:eastAsia="ru-RU"/>
        </w:rPr>
        <w:t xml:space="preserve">ание Генеральной прокуратуры РФ, </w:t>
      </w:r>
      <w:r w:rsidRPr="00921A4A">
        <w:rPr>
          <w:rFonts w:ascii="Times New Roman" w:eastAsia="Times New Roman" w:hAnsi="Times New Roman" w:cs="Times New Roman"/>
          <w:color w:val="000000"/>
          <w:sz w:val="24"/>
          <w:szCs w:val="24"/>
          <w:lang w:eastAsia="ru-RU"/>
        </w:rPr>
        <w:t xml:space="preserve">возникла необходимость в </w:t>
      </w:r>
      <w:r>
        <w:rPr>
          <w:rFonts w:ascii="Times New Roman" w:eastAsia="Times New Roman" w:hAnsi="Times New Roman" w:cs="Times New Roman"/>
          <w:color w:val="000000"/>
          <w:sz w:val="24"/>
          <w:szCs w:val="24"/>
          <w:lang w:eastAsia="ru-RU"/>
        </w:rPr>
        <w:t>новом</w:t>
      </w:r>
      <w:r w:rsidRPr="00921A4A">
        <w:rPr>
          <w:rFonts w:ascii="Times New Roman" w:eastAsia="Times New Roman" w:hAnsi="Times New Roman" w:cs="Times New Roman"/>
          <w:color w:val="000000"/>
          <w:sz w:val="24"/>
          <w:szCs w:val="24"/>
          <w:lang w:eastAsia="ru-RU"/>
        </w:rPr>
        <w:t xml:space="preserve"> документ</w:t>
      </w:r>
      <w:r>
        <w:rPr>
          <w:rFonts w:ascii="Times New Roman" w:eastAsia="Times New Roman" w:hAnsi="Times New Roman" w:cs="Times New Roman"/>
          <w:color w:val="000000"/>
          <w:sz w:val="24"/>
          <w:szCs w:val="24"/>
          <w:lang w:eastAsia="ru-RU"/>
        </w:rPr>
        <w:t>е. Р</w:t>
      </w:r>
      <w:r w:rsidRPr="00921A4A">
        <w:rPr>
          <w:rFonts w:ascii="Times New Roman" w:eastAsia="Times New Roman" w:hAnsi="Times New Roman" w:cs="Times New Roman"/>
          <w:color w:val="000000"/>
          <w:sz w:val="24"/>
          <w:szCs w:val="24"/>
          <w:lang w:eastAsia="ru-RU"/>
        </w:rPr>
        <w:t>азработка</w:t>
      </w:r>
      <w:r>
        <w:rPr>
          <w:rFonts w:ascii="Times New Roman" w:eastAsia="Times New Roman" w:hAnsi="Times New Roman" w:cs="Times New Roman"/>
          <w:color w:val="000000"/>
          <w:sz w:val="24"/>
          <w:szCs w:val="24"/>
          <w:lang w:eastAsia="ru-RU"/>
        </w:rPr>
        <w:t xml:space="preserve"> приказа </w:t>
      </w:r>
      <w:r w:rsidRPr="00921A4A">
        <w:rPr>
          <w:rFonts w:ascii="Times New Roman" w:eastAsia="Times New Roman" w:hAnsi="Times New Roman" w:cs="Times New Roman"/>
          <w:color w:val="000000"/>
          <w:sz w:val="24"/>
          <w:szCs w:val="24"/>
          <w:lang w:eastAsia="ru-RU"/>
        </w:rPr>
        <w:t>длилась около двух лет. В итоге</w:t>
      </w:r>
      <w:r>
        <w:rPr>
          <w:rFonts w:ascii="Times New Roman" w:eastAsia="Times New Roman" w:hAnsi="Times New Roman" w:cs="Times New Roman"/>
          <w:color w:val="000000"/>
          <w:sz w:val="24"/>
          <w:szCs w:val="24"/>
          <w:lang w:eastAsia="ru-RU"/>
        </w:rPr>
        <w:t>,</w:t>
      </w:r>
      <w:r w:rsidRPr="00921A4A">
        <w:rPr>
          <w:rFonts w:ascii="Times New Roman" w:eastAsia="Times New Roman" w:hAnsi="Times New Roman" w:cs="Times New Roman"/>
          <w:color w:val="000000"/>
          <w:sz w:val="24"/>
          <w:szCs w:val="24"/>
          <w:lang w:eastAsia="ru-RU"/>
        </w:rPr>
        <w:t xml:space="preserve"> Мин</w:t>
      </w:r>
      <w:r>
        <w:rPr>
          <w:rFonts w:ascii="Times New Roman" w:eastAsia="Times New Roman" w:hAnsi="Times New Roman" w:cs="Times New Roman"/>
          <w:color w:val="000000"/>
          <w:sz w:val="24"/>
          <w:szCs w:val="24"/>
          <w:lang w:eastAsia="ru-RU"/>
        </w:rPr>
        <w:t xml:space="preserve">истерство </w:t>
      </w:r>
      <w:r w:rsidRPr="00921A4A">
        <w:rPr>
          <w:rFonts w:ascii="Times New Roman" w:eastAsia="Times New Roman" w:hAnsi="Times New Roman" w:cs="Times New Roman"/>
          <w:color w:val="000000"/>
          <w:sz w:val="24"/>
          <w:szCs w:val="24"/>
          <w:lang w:eastAsia="ru-RU"/>
        </w:rPr>
        <w:t>труд</w:t>
      </w:r>
      <w:r>
        <w:rPr>
          <w:rFonts w:ascii="Times New Roman" w:eastAsia="Times New Roman" w:hAnsi="Times New Roman" w:cs="Times New Roman"/>
          <w:color w:val="000000"/>
          <w:sz w:val="24"/>
          <w:szCs w:val="24"/>
          <w:lang w:eastAsia="ru-RU"/>
        </w:rPr>
        <w:t>а</w:t>
      </w:r>
      <w:r w:rsidRPr="00921A4A">
        <w:rPr>
          <w:rFonts w:ascii="Times New Roman" w:eastAsia="Times New Roman" w:hAnsi="Times New Roman" w:cs="Times New Roman"/>
          <w:color w:val="000000"/>
          <w:sz w:val="24"/>
          <w:szCs w:val="24"/>
          <w:lang w:eastAsia="ru-RU"/>
        </w:rPr>
        <w:t xml:space="preserve"> России утвердил</w:t>
      </w:r>
      <w:r>
        <w:rPr>
          <w:rFonts w:ascii="Times New Roman" w:eastAsia="Times New Roman" w:hAnsi="Times New Roman" w:cs="Times New Roman"/>
          <w:color w:val="000000"/>
          <w:sz w:val="24"/>
          <w:szCs w:val="24"/>
          <w:lang w:eastAsia="ru-RU"/>
        </w:rPr>
        <w:t>о</w:t>
      </w:r>
      <w:r w:rsidRPr="00921A4A">
        <w:rPr>
          <w:rFonts w:ascii="Times New Roman" w:eastAsia="Times New Roman" w:hAnsi="Times New Roman" w:cs="Times New Roman"/>
          <w:color w:val="000000"/>
          <w:sz w:val="24"/>
          <w:szCs w:val="24"/>
          <w:lang w:eastAsia="ru-RU"/>
        </w:rPr>
        <w:t xml:space="preserve"> приказ от 29.09.2014 №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2A02A6" w:rsidRPr="00921A4A"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Отличительной чертой Приказа № 664н стало введение в практику МСЭ количественной оценки уровня выраженности стойких дисфункций организма, который устанавливается по шкале от 10% до 100% процентов с шагом в 10%.</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lastRenderedPageBreak/>
        <w:t>Приказ № 664н, использующий новую оценочную систему выраженности стойких дисф</w:t>
      </w:r>
      <w:r>
        <w:rPr>
          <w:rFonts w:ascii="Times New Roman" w:eastAsia="Times New Roman" w:hAnsi="Times New Roman" w:cs="Times New Roman"/>
          <w:color w:val="000000"/>
          <w:sz w:val="24"/>
          <w:szCs w:val="24"/>
          <w:lang w:eastAsia="ru-RU"/>
        </w:rPr>
        <w:t>ункций организма, классифицировал</w:t>
      </w:r>
      <w:r w:rsidRPr="00921A4A">
        <w:rPr>
          <w:rFonts w:ascii="Times New Roman" w:eastAsia="Times New Roman" w:hAnsi="Times New Roman" w:cs="Times New Roman"/>
          <w:color w:val="000000"/>
          <w:sz w:val="24"/>
          <w:szCs w:val="24"/>
          <w:lang w:eastAsia="ru-RU"/>
        </w:rPr>
        <w:t xml:space="preserve"> степени следующим образом:</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I степень — стойкие, незначительные расстройства функций организма человека, которые определяются заболеваниями, следствиями травм или дефектами. Диапазон от 10% до 30%;</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II степень — стойкие умеренные расстройства функций организма, которые определяются заболеваниями, следствиями травм или дефектами. Диапазон от 40% до 60%;</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III степень — стойкие выраженные расстройства функций организма, которые определяются болезнями, следствиями травм или дефектами. Диапазон от 70% до 80%;</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IV степень — стойкие значительно выраженные расстройства функций организма, которые определяются болезнями, следствиями травм или дефектами. Диапазон от 90% до 100%.</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921A4A">
        <w:rPr>
          <w:rFonts w:ascii="Times New Roman" w:eastAsia="Times New Roman" w:hAnsi="Times New Roman" w:cs="Times New Roman"/>
          <w:color w:val="000000"/>
          <w:sz w:val="24"/>
          <w:szCs w:val="24"/>
          <w:lang w:eastAsia="ru-RU"/>
        </w:rPr>
        <w:t xml:space="preserve">Таким образом, уровень выраженности стойких </w:t>
      </w:r>
      <w:r>
        <w:rPr>
          <w:rFonts w:ascii="Times New Roman" w:eastAsia="Times New Roman" w:hAnsi="Times New Roman" w:cs="Times New Roman"/>
          <w:color w:val="000000"/>
          <w:sz w:val="24"/>
          <w:szCs w:val="24"/>
          <w:lang w:eastAsia="ru-RU"/>
        </w:rPr>
        <w:t xml:space="preserve">нарушений функций организма был привязан </w:t>
      </w:r>
      <w:r w:rsidRPr="00921A4A">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 количественной системе оценки.</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w:t>
      </w:r>
      <w:r w:rsidRPr="00921A4A">
        <w:rPr>
          <w:rFonts w:ascii="Times New Roman" w:eastAsia="Times New Roman" w:hAnsi="Times New Roman" w:cs="Times New Roman"/>
          <w:color w:val="000000"/>
          <w:sz w:val="24"/>
          <w:szCs w:val="24"/>
          <w:lang w:eastAsia="ru-RU"/>
        </w:rPr>
        <w:t xml:space="preserve">риказ просуществовал в виде рабочего документа немногим более года. </w:t>
      </w:r>
      <w:r>
        <w:rPr>
          <w:rFonts w:ascii="Times New Roman" w:eastAsia="Times New Roman" w:hAnsi="Times New Roman" w:cs="Times New Roman"/>
          <w:color w:val="000000"/>
          <w:sz w:val="24"/>
          <w:szCs w:val="24"/>
          <w:lang w:eastAsia="ru-RU"/>
        </w:rPr>
        <w:t>На смену ему пришел новый приказ</w:t>
      </w:r>
      <w:r w:rsidRPr="00921A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Министерства труда и социальной защиты России </w:t>
      </w:r>
      <w:r w:rsidRPr="00921A4A">
        <w:rPr>
          <w:rFonts w:ascii="Times New Roman" w:eastAsia="Times New Roman" w:hAnsi="Times New Roman" w:cs="Times New Roman"/>
          <w:color w:val="000000"/>
          <w:sz w:val="24"/>
          <w:szCs w:val="24"/>
          <w:lang w:eastAsia="ru-RU"/>
        </w:rPr>
        <w:t>от 17.12.2015 № 1024н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C016F9">
        <w:rPr>
          <w:rFonts w:ascii="Times New Roman" w:eastAsia="Times New Roman" w:hAnsi="Times New Roman" w:cs="Times New Roman"/>
          <w:color w:val="000000"/>
          <w:sz w:val="24"/>
          <w:szCs w:val="24"/>
          <w:lang w:eastAsia="ru-RU"/>
        </w:rPr>
        <w:t xml:space="preserve">Классификация основных форм стойких расстройств, степени выраженности их, классификации категорий жизнедеятельности, а также экспертные подходы по установлению инвалидности, в Приказе № 1024н не поменялись. </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01.01.2020 года врачи – эксперты бюро медико-социальной экспертизы руководствуются новым приказом</w:t>
      </w:r>
      <w:r w:rsidRPr="00921A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Министерства труда и социальной защиты России от 27.08.2019 № 585</w:t>
      </w:r>
      <w:r w:rsidRPr="00921A4A">
        <w:rPr>
          <w:rFonts w:ascii="Times New Roman" w:eastAsia="Times New Roman" w:hAnsi="Times New Roman" w:cs="Times New Roman"/>
          <w:color w:val="000000"/>
          <w:sz w:val="24"/>
          <w:szCs w:val="24"/>
          <w:lang w:eastAsia="ru-RU"/>
        </w:rPr>
        <w:t>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r>
        <w:rPr>
          <w:rFonts w:ascii="Times New Roman" w:eastAsia="Times New Roman" w:hAnsi="Times New Roman" w:cs="Times New Roman"/>
          <w:color w:val="000000"/>
          <w:sz w:val="24"/>
          <w:szCs w:val="24"/>
          <w:lang w:eastAsia="ru-RU"/>
        </w:rPr>
        <w:t>. В приложениях к Приказу №585н  описаны</w:t>
      </w:r>
      <w:r w:rsidRPr="00E73B3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клинические, и функциональные</w:t>
      </w:r>
      <w:r w:rsidRPr="00E73B38">
        <w:rPr>
          <w:rFonts w:ascii="Times New Roman" w:eastAsia="Times New Roman" w:hAnsi="Times New Roman" w:cs="Times New Roman"/>
          <w:color w:val="000000"/>
          <w:sz w:val="24"/>
          <w:szCs w:val="24"/>
          <w:lang w:eastAsia="ru-RU"/>
        </w:rPr>
        <w:t xml:space="preserve"> характеристик</w:t>
      </w:r>
      <w:r>
        <w:rPr>
          <w:rFonts w:ascii="Times New Roman" w:eastAsia="Times New Roman" w:hAnsi="Times New Roman" w:cs="Times New Roman"/>
          <w:color w:val="000000"/>
          <w:sz w:val="24"/>
          <w:szCs w:val="24"/>
          <w:lang w:eastAsia="ru-RU"/>
        </w:rPr>
        <w:t>и</w:t>
      </w:r>
      <w:r w:rsidRPr="00E73B38">
        <w:rPr>
          <w:rFonts w:ascii="Times New Roman" w:eastAsia="Times New Roman" w:hAnsi="Times New Roman" w:cs="Times New Roman"/>
          <w:color w:val="000000"/>
          <w:sz w:val="24"/>
          <w:szCs w:val="24"/>
          <w:lang w:eastAsia="ru-RU"/>
        </w:rPr>
        <w:t xml:space="preserve"> стойких </w:t>
      </w:r>
      <w:r>
        <w:rPr>
          <w:rFonts w:ascii="Times New Roman" w:eastAsia="Times New Roman" w:hAnsi="Times New Roman" w:cs="Times New Roman"/>
          <w:color w:val="000000"/>
          <w:sz w:val="24"/>
          <w:szCs w:val="24"/>
          <w:lang w:eastAsia="ru-RU"/>
        </w:rPr>
        <w:t>нарушений функций</w:t>
      </w:r>
      <w:r w:rsidRPr="00E73B38">
        <w:rPr>
          <w:rFonts w:ascii="Times New Roman" w:eastAsia="Times New Roman" w:hAnsi="Times New Roman" w:cs="Times New Roman"/>
          <w:color w:val="000000"/>
          <w:sz w:val="24"/>
          <w:szCs w:val="24"/>
          <w:lang w:eastAsia="ru-RU"/>
        </w:rPr>
        <w:t xml:space="preserve"> организма, которые обусловлены болезнями, следствием травм или дефектами. Ремарки каждого пункта, которые разъясняют его трактовку, достаточно актуальны, и применимы в практической работе</w:t>
      </w:r>
      <w:r>
        <w:rPr>
          <w:rFonts w:ascii="Times New Roman" w:eastAsia="Times New Roman" w:hAnsi="Times New Roman" w:cs="Times New Roman"/>
          <w:color w:val="000000"/>
          <w:sz w:val="24"/>
          <w:szCs w:val="24"/>
          <w:lang w:eastAsia="ru-RU"/>
        </w:rPr>
        <w:t xml:space="preserve"> как специалистов бюро МСЭ</w:t>
      </w:r>
      <w:r w:rsidRPr="00E73B38">
        <w:rPr>
          <w:rFonts w:ascii="Times New Roman" w:eastAsia="Times New Roman" w:hAnsi="Times New Roman" w:cs="Times New Roman"/>
          <w:color w:val="000000"/>
          <w:sz w:val="24"/>
          <w:szCs w:val="24"/>
          <w:lang w:eastAsia="ru-RU"/>
        </w:rPr>
        <w:t xml:space="preserve"> при обосновании  экспертного решени</w:t>
      </w:r>
      <w:r>
        <w:rPr>
          <w:rFonts w:ascii="Times New Roman" w:eastAsia="Times New Roman" w:hAnsi="Times New Roman" w:cs="Times New Roman"/>
          <w:color w:val="000000"/>
          <w:sz w:val="24"/>
          <w:szCs w:val="24"/>
          <w:lang w:eastAsia="ru-RU"/>
        </w:rPr>
        <w:t xml:space="preserve">я о присвоении подходящей группы инвалидности, так и врачебных комиссий медицинских организаций при направлении пациентов на МСЭ. </w:t>
      </w:r>
    </w:p>
    <w:p w:rsidR="002A02A6" w:rsidRPr="00F03136" w:rsidRDefault="002A02A6" w:rsidP="002A02A6">
      <w:pPr>
        <w:spacing w:after="0"/>
        <w:ind w:firstLine="567"/>
        <w:jc w:val="both"/>
        <w:rPr>
          <w:rFonts w:ascii="Times New Roman" w:eastAsia="Times New Roman" w:hAnsi="Times New Roman" w:cs="Times New Roman"/>
          <w:b/>
          <w:color w:val="000000"/>
          <w:sz w:val="24"/>
          <w:szCs w:val="24"/>
          <w:lang w:eastAsia="ru-RU"/>
        </w:rPr>
      </w:pPr>
      <w:r w:rsidRPr="00F03136">
        <w:rPr>
          <w:rFonts w:ascii="Times New Roman" w:eastAsia="Times New Roman" w:hAnsi="Times New Roman" w:cs="Times New Roman"/>
          <w:b/>
          <w:color w:val="000000"/>
          <w:sz w:val="24"/>
          <w:szCs w:val="24"/>
          <w:lang w:eastAsia="ru-RU"/>
        </w:rPr>
        <w:t>Обобщая вышесказанное:</w:t>
      </w:r>
    </w:p>
    <w:p w:rsidR="002A02A6" w:rsidRPr="00B41FA6" w:rsidRDefault="002A02A6" w:rsidP="002A02A6">
      <w:pPr>
        <w:numPr>
          <w:ilvl w:val="0"/>
          <w:numId w:val="1"/>
        </w:numPr>
        <w:spacing w:after="255"/>
        <w:rPr>
          <w:rFonts w:ascii="Times New Roman" w:eastAsia="Times New Roman" w:hAnsi="Times New Roman" w:cs="Times New Roman"/>
          <w:color w:val="000000"/>
          <w:sz w:val="24"/>
          <w:szCs w:val="24"/>
          <w:lang w:eastAsia="ru-RU"/>
        </w:rPr>
      </w:pPr>
      <w:r w:rsidRPr="00B41FA6">
        <w:rPr>
          <w:rFonts w:ascii="Times New Roman" w:eastAsia="Times New Roman" w:hAnsi="Times New Roman" w:cs="Times New Roman"/>
          <w:color w:val="000000"/>
          <w:sz w:val="24"/>
          <w:szCs w:val="24"/>
          <w:lang w:eastAsia="ru-RU"/>
        </w:rPr>
        <w:t xml:space="preserve">группа инвалидности определяться в зависимости от </w:t>
      </w:r>
      <w:r w:rsidRPr="00B41FA6">
        <w:rPr>
          <w:rFonts w:ascii="Times New Roman" w:eastAsia="Times New Roman" w:hAnsi="Times New Roman" w:cs="Times New Roman"/>
          <w:b/>
          <w:bCs/>
          <w:iCs/>
          <w:color w:val="000000"/>
          <w:sz w:val="24"/>
          <w:szCs w:val="24"/>
          <w:lang w:eastAsia="ru-RU"/>
        </w:rPr>
        <w:t>степени выраженности стойких расстройств функций организма</w:t>
      </w:r>
      <w:r>
        <w:rPr>
          <w:rFonts w:ascii="Times New Roman" w:eastAsia="Times New Roman" w:hAnsi="Times New Roman" w:cs="Times New Roman"/>
          <w:b/>
          <w:bCs/>
          <w:iCs/>
          <w:color w:val="000000"/>
          <w:sz w:val="24"/>
          <w:szCs w:val="24"/>
          <w:lang w:eastAsia="ru-RU"/>
        </w:rPr>
        <w:t>;</w:t>
      </w:r>
    </w:p>
    <w:p w:rsidR="002A02A6" w:rsidRPr="00B41FA6" w:rsidRDefault="002A02A6" w:rsidP="002A02A6">
      <w:pPr>
        <w:numPr>
          <w:ilvl w:val="0"/>
          <w:numId w:val="1"/>
        </w:numPr>
        <w:spacing w:after="255"/>
        <w:rPr>
          <w:rFonts w:ascii="Times New Roman" w:eastAsia="Times New Roman" w:hAnsi="Times New Roman" w:cs="Times New Roman"/>
          <w:color w:val="000000"/>
          <w:sz w:val="24"/>
          <w:szCs w:val="24"/>
          <w:lang w:eastAsia="ru-RU"/>
        </w:rPr>
      </w:pPr>
      <w:r w:rsidRPr="00B41FA6">
        <w:rPr>
          <w:rFonts w:ascii="Times New Roman" w:eastAsia="Times New Roman" w:hAnsi="Times New Roman" w:cs="Times New Roman"/>
          <w:color w:val="000000"/>
          <w:sz w:val="24"/>
          <w:szCs w:val="24"/>
          <w:lang w:eastAsia="ru-RU"/>
        </w:rPr>
        <w:t xml:space="preserve">степень выраженности стойких расстройств функций организма  </w:t>
      </w:r>
      <w:r w:rsidRPr="00B41FA6">
        <w:rPr>
          <w:rFonts w:ascii="Times New Roman" w:eastAsia="Times New Roman" w:hAnsi="Times New Roman" w:cs="Times New Roman"/>
          <w:b/>
          <w:color w:val="000000"/>
          <w:sz w:val="24"/>
          <w:szCs w:val="24"/>
          <w:u w:val="single"/>
          <w:lang w:eastAsia="ru-RU"/>
        </w:rPr>
        <w:t>необходимо</w:t>
      </w:r>
      <w:r w:rsidRPr="00B41FA6">
        <w:rPr>
          <w:rFonts w:ascii="Times New Roman" w:eastAsia="Times New Roman" w:hAnsi="Times New Roman" w:cs="Times New Roman"/>
          <w:color w:val="000000"/>
          <w:sz w:val="24"/>
          <w:szCs w:val="24"/>
          <w:lang w:eastAsia="ru-RU"/>
        </w:rPr>
        <w:t xml:space="preserve"> </w:t>
      </w:r>
      <w:r w:rsidRPr="00B41FA6">
        <w:rPr>
          <w:rFonts w:ascii="Times New Roman" w:eastAsia="Times New Roman" w:hAnsi="Times New Roman" w:cs="Times New Roman"/>
          <w:b/>
          <w:color w:val="000000"/>
          <w:sz w:val="24"/>
          <w:szCs w:val="24"/>
          <w:u w:val="single"/>
          <w:lang w:eastAsia="ru-RU"/>
        </w:rPr>
        <w:t>подтвердить</w:t>
      </w:r>
      <w:r w:rsidRPr="00B41FA6">
        <w:rPr>
          <w:rFonts w:ascii="Times New Roman" w:eastAsia="Times New Roman" w:hAnsi="Times New Roman" w:cs="Times New Roman"/>
          <w:color w:val="000000"/>
          <w:sz w:val="24"/>
          <w:szCs w:val="24"/>
          <w:lang w:eastAsia="ru-RU"/>
        </w:rPr>
        <w:t xml:space="preserve"> объективно</w:t>
      </w:r>
      <w:r w:rsidRPr="00B41FA6">
        <w:rPr>
          <w:rFonts w:ascii="Times New Roman" w:eastAsia="Times New Roman" w:hAnsi="Times New Roman" w:cs="Times New Roman"/>
          <w:b/>
          <w:bCs/>
          <w:i/>
          <w:iCs/>
          <w:color w:val="000000"/>
          <w:sz w:val="24"/>
          <w:szCs w:val="24"/>
          <w:lang w:eastAsia="ru-RU"/>
        </w:rPr>
        <w:t xml:space="preserve"> </w:t>
      </w:r>
      <w:r w:rsidRPr="00B41FA6">
        <w:rPr>
          <w:rFonts w:ascii="Times New Roman" w:eastAsia="Times New Roman" w:hAnsi="Times New Roman" w:cs="Times New Roman"/>
          <w:b/>
          <w:bCs/>
          <w:iCs/>
          <w:color w:val="000000"/>
          <w:sz w:val="24"/>
          <w:szCs w:val="24"/>
          <w:lang w:eastAsia="ru-RU"/>
        </w:rPr>
        <w:t>медицинскими обследованиями</w:t>
      </w:r>
      <w:r>
        <w:rPr>
          <w:rFonts w:ascii="Times New Roman" w:eastAsia="Times New Roman" w:hAnsi="Times New Roman" w:cs="Times New Roman"/>
          <w:b/>
          <w:bCs/>
          <w:iCs/>
          <w:color w:val="000000"/>
          <w:sz w:val="24"/>
          <w:szCs w:val="24"/>
          <w:lang w:eastAsia="ru-RU"/>
        </w:rPr>
        <w:t>;</w:t>
      </w:r>
    </w:p>
    <w:p w:rsidR="002A02A6" w:rsidRPr="00F03136" w:rsidRDefault="002A02A6" w:rsidP="002A02A6">
      <w:pPr>
        <w:pStyle w:val="1"/>
        <w:spacing w:line="276" w:lineRule="auto"/>
        <w:jc w:val="both"/>
        <w:rPr>
          <w:rFonts w:ascii="Times New Roman" w:eastAsia="Times New Roman" w:hAnsi="Times New Roman" w:cs="Times New Roman"/>
          <w:b w:val="0"/>
          <w:color w:val="auto"/>
        </w:rPr>
      </w:pPr>
      <w:r w:rsidRPr="00F03136">
        <w:rPr>
          <w:rFonts w:ascii="Times New Roman" w:eastAsia="Times New Roman" w:hAnsi="Times New Roman" w:cs="Times New Roman"/>
          <w:b w:val="0"/>
          <w:color w:val="000000"/>
          <w:sz w:val="32"/>
          <w:szCs w:val="32"/>
        </w:rPr>
        <w:t xml:space="preserve"> </w:t>
      </w:r>
      <w:r w:rsidRPr="00F03136">
        <w:rPr>
          <w:rFonts w:ascii="Times New Roman" w:eastAsia="Times New Roman" w:hAnsi="Times New Roman" w:cs="Times New Roman"/>
          <w:b w:val="0"/>
          <w:color w:val="000000"/>
        </w:rPr>
        <w:t xml:space="preserve">Таким образом, медицинская организация должна при направлении на МСЭ всесторонне обследовать пациента и подтвердить результатами обследований не только наличие у пациента какого-либо заболевания, но и степень выраженности стойких нарушений функций организма. </w:t>
      </w:r>
      <w:proofErr w:type="gramStart"/>
      <w:r w:rsidRPr="00F03136">
        <w:rPr>
          <w:rFonts w:ascii="Times New Roman" w:eastAsia="Times New Roman" w:hAnsi="Times New Roman" w:cs="Times New Roman"/>
          <w:b w:val="0"/>
          <w:color w:val="000000"/>
        </w:rPr>
        <w:t>Перечень обязательных обследований, котор</w:t>
      </w:r>
      <w:r>
        <w:rPr>
          <w:rFonts w:ascii="Times New Roman" w:eastAsia="Times New Roman" w:hAnsi="Times New Roman" w:cs="Times New Roman"/>
          <w:b w:val="0"/>
          <w:color w:val="000000"/>
        </w:rPr>
        <w:t>ые должны быть</w:t>
      </w:r>
      <w:r w:rsidRPr="00F03136">
        <w:rPr>
          <w:rFonts w:ascii="Times New Roman" w:eastAsia="Times New Roman" w:hAnsi="Times New Roman" w:cs="Times New Roman"/>
          <w:b w:val="0"/>
          <w:color w:val="000000"/>
        </w:rPr>
        <w:t xml:space="preserve"> выполн</w:t>
      </w:r>
      <w:r>
        <w:rPr>
          <w:rFonts w:ascii="Times New Roman" w:eastAsia="Times New Roman" w:hAnsi="Times New Roman" w:cs="Times New Roman"/>
          <w:b w:val="0"/>
          <w:color w:val="000000"/>
        </w:rPr>
        <w:t>ены</w:t>
      </w:r>
      <w:r w:rsidRPr="00F03136">
        <w:rPr>
          <w:rFonts w:ascii="Times New Roman" w:eastAsia="Times New Roman" w:hAnsi="Times New Roman" w:cs="Times New Roman"/>
          <w:b w:val="0"/>
          <w:color w:val="000000"/>
        </w:rPr>
        <w:t xml:space="preserve"> перед направлением на МСЭ и срок их действительности</w:t>
      </w:r>
      <w:r>
        <w:rPr>
          <w:rFonts w:ascii="Times New Roman" w:eastAsia="Times New Roman" w:hAnsi="Times New Roman" w:cs="Times New Roman"/>
          <w:b w:val="0"/>
          <w:color w:val="000000"/>
        </w:rPr>
        <w:t>,</w:t>
      </w:r>
      <w:r w:rsidRPr="00F03136">
        <w:rPr>
          <w:rFonts w:ascii="Times New Roman" w:eastAsia="Times New Roman" w:hAnsi="Times New Roman" w:cs="Times New Roman"/>
          <w:b w:val="0"/>
          <w:color w:val="000000"/>
        </w:rPr>
        <w:t xml:space="preserve"> определен приказом </w:t>
      </w:r>
      <w:hyperlink r:id="rId6" w:history="1">
        <w:r w:rsidRPr="00F03136">
          <w:rPr>
            <w:rStyle w:val="a4"/>
            <w:rFonts w:ascii="Times New Roman" w:hAnsi="Times New Roman"/>
            <w:b w:val="0"/>
            <w:bCs w:val="0"/>
            <w:color w:val="auto"/>
          </w:rPr>
          <w:t xml:space="preserve"> </w:t>
        </w:r>
        <w:r w:rsidRPr="00F03136">
          <w:rPr>
            <w:rStyle w:val="a4"/>
            <w:rFonts w:ascii="Times New Roman" w:hAnsi="Times New Roman"/>
            <w:b w:val="0"/>
            <w:bCs w:val="0"/>
            <w:color w:val="auto"/>
          </w:rPr>
          <w:lastRenderedPageBreak/>
          <w:t>Министерства труда и социальной защиты РФ и Министерства здравоохранения РФ от 10 июня 2021 г. N 402н/631н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hyperlink>
      <w:proofErr w:type="gramEnd"/>
    </w:p>
    <w:p w:rsidR="002A02A6" w:rsidRDefault="002A02A6" w:rsidP="002A02A6">
      <w:pPr>
        <w:pStyle w:val="a3"/>
        <w:numPr>
          <w:ilvl w:val="0"/>
          <w:numId w:val="1"/>
        </w:numPr>
        <w:spacing w:after="25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w:t>
      </w:r>
      <w:r w:rsidRPr="001F6F89">
        <w:rPr>
          <w:rFonts w:ascii="Times New Roman" w:eastAsia="Times New Roman" w:hAnsi="Times New Roman" w:cs="Times New Roman"/>
          <w:b/>
          <w:color w:val="000000"/>
          <w:sz w:val="24"/>
          <w:szCs w:val="24"/>
          <w:lang w:eastAsia="ru-RU"/>
        </w:rPr>
        <w:t>тепень же выраженности</w:t>
      </w:r>
      <w:r w:rsidRPr="00C123B7">
        <w:rPr>
          <w:rFonts w:ascii="Times New Roman" w:eastAsia="Times New Roman" w:hAnsi="Times New Roman" w:cs="Times New Roman"/>
          <w:color w:val="000000"/>
          <w:sz w:val="24"/>
          <w:szCs w:val="24"/>
          <w:lang w:eastAsia="ru-RU"/>
        </w:rPr>
        <w:t xml:space="preserve"> стойких нарушений функций организма человека, </w:t>
      </w:r>
      <w:r w:rsidRPr="001F6F89">
        <w:rPr>
          <w:rFonts w:ascii="Times New Roman" w:eastAsia="Times New Roman" w:hAnsi="Times New Roman" w:cs="Times New Roman"/>
          <w:b/>
          <w:bCs/>
          <w:iCs/>
          <w:color w:val="000000"/>
          <w:sz w:val="24"/>
          <w:szCs w:val="24"/>
          <w:lang w:eastAsia="ru-RU"/>
        </w:rPr>
        <w:t xml:space="preserve">оценивается </w:t>
      </w:r>
      <w:r>
        <w:rPr>
          <w:rFonts w:ascii="Times New Roman" w:eastAsia="Times New Roman" w:hAnsi="Times New Roman" w:cs="Times New Roman"/>
          <w:b/>
          <w:bCs/>
          <w:i/>
          <w:iCs/>
          <w:color w:val="000000"/>
          <w:sz w:val="24"/>
          <w:szCs w:val="24"/>
          <w:lang w:eastAsia="ru-RU"/>
        </w:rPr>
        <w:t xml:space="preserve"> </w:t>
      </w:r>
      <w:r w:rsidRPr="001F6F89">
        <w:rPr>
          <w:rFonts w:ascii="Times New Roman" w:eastAsia="Times New Roman" w:hAnsi="Times New Roman" w:cs="Times New Roman"/>
          <w:bCs/>
          <w:iCs/>
          <w:color w:val="000000"/>
          <w:sz w:val="24"/>
          <w:szCs w:val="24"/>
          <w:lang w:eastAsia="ru-RU"/>
        </w:rPr>
        <w:t>комиссиями медико-социальной экспертизы</w:t>
      </w:r>
      <w:r w:rsidRPr="00C123B7">
        <w:rPr>
          <w:rFonts w:ascii="Times New Roman" w:eastAsia="Times New Roman" w:hAnsi="Times New Roman" w:cs="Times New Roman"/>
          <w:b/>
          <w:bCs/>
          <w:i/>
          <w:iCs/>
          <w:color w:val="000000"/>
          <w:sz w:val="24"/>
          <w:szCs w:val="24"/>
          <w:lang w:eastAsia="ru-RU"/>
        </w:rPr>
        <w:t xml:space="preserve"> </w:t>
      </w:r>
      <w:r w:rsidRPr="001F6F89">
        <w:rPr>
          <w:rFonts w:ascii="Times New Roman" w:eastAsia="Times New Roman" w:hAnsi="Times New Roman" w:cs="Times New Roman"/>
          <w:b/>
          <w:bCs/>
          <w:iCs/>
          <w:color w:val="000000"/>
          <w:sz w:val="24"/>
          <w:szCs w:val="24"/>
          <w:lang w:eastAsia="ru-RU"/>
        </w:rPr>
        <w:t>в процентах</w:t>
      </w:r>
      <w:r w:rsidRPr="00C123B7">
        <w:rPr>
          <w:rFonts w:ascii="Times New Roman" w:eastAsia="Times New Roman" w:hAnsi="Times New Roman" w:cs="Times New Roman"/>
          <w:color w:val="000000"/>
          <w:sz w:val="24"/>
          <w:szCs w:val="24"/>
          <w:lang w:eastAsia="ru-RU"/>
        </w:rPr>
        <w:t xml:space="preserve"> и устанавливается в диапазоне от 10</w:t>
      </w:r>
      <w:r>
        <w:rPr>
          <w:rFonts w:ascii="Times New Roman" w:eastAsia="Times New Roman" w:hAnsi="Times New Roman" w:cs="Times New Roman"/>
          <w:color w:val="000000"/>
          <w:sz w:val="24"/>
          <w:szCs w:val="24"/>
          <w:lang w:eastAsia="ru-RU"/>
        </w:rPr>
        <w:t>%</w:t>
      </w:r>
      <w:r w:rsidRPr="00C123B7">
        <w:rPr>
          <w:rFonts w:ascii="Times New Roman" w:eastAsia="Times New Roman" w:hAnsi="Times New Roman" w:cs="Times New Roman"/>
          <w:color w:val="000000"/>
          <w:sz w:val="24"/>
          <w:szCs w:val="24"/>
          <w:lang w:eastAsia="ru-RU"/>
        </w:rPr>
        <w:t xml:space="preserve"> до 100</w:t>
      </w:r>
      <w:r>
        <w:rPr>
          <w:rFonts w:ascii="Times New Roman" w:eastAsia="Times New Roman" w:hAnsi="Times New Roman" w:cs="Times New Roman"/>
          <w:color w:val="000000"/>
          <w:sz w:val="24"/>
          <w:szCs w:val="24"/>
          <w:lang w:eastAsia="ru-RU"/>
        </w:rPr>
        <w:t>%</w:t>
      </w:r>
      <w:r w:rsidRPr="00C123B7">
        <w:rPr>
          <w:rFonts w:ascii="Times New Roman" w:eastAsia="Times New Roman" w:hAnsi="Times New Roman" w:cs="Times New Roman"/>
          <w:color w:val="000000"/>
          <w:sz w:val="24"/>
          <w:szCs w:val="24"/>
          <w:lang w:eastAsia="ru-RU"/>
        </w:rPr>
        <w:t xml:space="preserve">, с шагом в 10 процентов. </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855B93">
        <w:rPr>
          <w:rFonts w:ascii="Times New Roman" w:eastAsia="Times New Roman" w:hAnsi="Times New Roman" w:cs="Times New Roman"/>
          <w:color w:val="000000"/>
          <w:sz w:val="24"/>
          <w:szCs w:val="24"/>
          <w:lang w:eastAsia="ru-RU"/>
        </w:rPr>
        <w:t>Степень выраженности этих стойких расстройств функций организма, в процентном выражении, устан</w:t>
      </w:r>
      <w:r>
        <w:rPr>
          <w:rFonts w:ascii="Times New Roman" w:eastAsia="Times New Roman" w:hAnsi="Times New Roman" w:cs="Times New Roman"/>
          <w:color w:val="000000"/>
          <w:sz w:val="24"/>
          <w:szCs w:val="24"/>
          <w:lang w:eastAsia="ru-RU"/>
        </w:rPr>
        <w:t>авливаю</w:t>
      </w:r>
      <w:r w:rsidRPr="00855B93">
        <w:rPr>
          <w:rFonts w:ascii="Times New Roman" w:eastAsia="Times New Roman" w:hAnsi="Times New Roman" w:cs="Times New Roman"/>
          <w:color w:val="000000"/>
          <w:sz w:val="24"/>
          <w:szCs w:val="24"/>
          <w:lang w:eastAsia="ru-RU"/>
        </w:rPr>
        <w:t>т эксперт</w:t>
      </w:r>
      <w:r>
        <w:rPr>
          <w:rFonts w:ascii="Times New Roman" w:eastAsia="Times New Roman" w:hAnsi="Times New Roman" w:cs="Times New Roman"/>
          <w:color w:val="000000"/>
          <w:sz w:val="24"/>
          <w:szCs w:val="24"/>
          <w:lang w:eastAsia="ru-RU"/>
        </w:rPr>
        <w:t>ы</w:t>
      </w:r>
      <w:r w:rsidRPr="00855B93">
        <w:rPr>
          <w:rFonts w:ascii="Times New Roman" w:eastAsia="Times New Roman" w:hAnsi="Times New Roman" w:cs="Times New Roman"/>
          <w:color w:val="000000"/>
          <w:sz w:val="24"/>
          <w:szCs w:val="24"/>
          <w:lang w:eastAsia="ru-RU"/>
        </w:rPr>
        <w:t xml:space="preserve"> бюро МСЭ. Он</w:t>
      </w:r>
      <w:r>
        <w:rPr>
          <w:rFonts w:ascii="Times New Roman" w:eastAsia="Times New Roman" w:hAnsi="Times New Roman" w:cs="Times New Roman"/>
          <w:color w:val="000000"/>
          <w:sz w:val="24"/>
          <w:szCs w:val="24"/>
          <w:lang w:eastAsia="ru-RU"/>
        </w:rPr>
        <w:t>и принимаю</w:t>
      </w:r>
      <w:r w:rsidRPr="00855B93">
        <w:rPr>
          <w:rFonts w:ascii="Times New Roman" w:eastAsia="Times New Roman" w:hAnsi="Times New Roman" w:cs="Times New Roman"/>
          <w:color w:val="000000"/>
          <w:sz w:val="24"/>
          <w:szCs w:val="24"/>
          <w:lang w:eastAsia="ru-RU"/>
        </w:rPr>
        <w:t>т во внимание клиническую, функциональную хар</w:t>
      </w:r>
      <w:r>
        <w:rPr>
          <w:rFonts w:ascii="Times New Roman" w:eastAsia="Times New Roman" w:hAnsi="Times New Roman" w:cs="Times New Roman"/>
          <w:color w:val="000000"/>
          <w:sz w:val="24"/>
          <w:szCs w:val="24"/>
          <w:lang w:eastAsia="ru-RU"/>
        </w:rPr>
        <w:t>актеристику болезни, последствий</w:t>
      </w:r>
      <w:r w:rsidRPr="00855B93">
        <w:rPr>
          <w:rFonts w:ascii="Times New Roman" w:eastAsia="Times New Roman" w:hAnsi="Times New Roman" w:cs="Times New Roman"/>
          <w:color w:val="000000"/>
          <w:sz w:val="24"/>
          <w:szCs w:val="24"/>
          <w:lang w:eastAsia="ru-RU"/>
        </w:rPr>
        <w:t xml:space="preserve"> травм, либо дефектов, которые обусловили вышеозначенные нарушения, их характер и степень осложнений, течение, стадию и прогноз процесса патологии.</w:t>
      </w:r>
    </w:p>
    <w:p w:rsidR="002A02A6" w:rsidRPr="00A12887" w:rsidRDefault="002A02A6" w:rsidP="002A02A6">
      <w:pPr>
        <w:spacing w:after="0"/>
        <w:ind w:firstLine="567"/>
        <w:jc w:val="both"/>
        <w:rPr>
          <w:rFonts w:ascii="Times New Roman" w:eastAsia="Times New Roman" w:hAnsi="Times New Roman" w:cs="Times New Roman"/>
          <w:color w:val="000000"/>
          <w:sz w:val="24"/>
          <w:szCs w:val="24"/>
          <w:lang w:eastAsia="ru-RU"/>
        </w:rPr>
      </w:pPr>
      <w:r w:rsidRPr="00A12887">
        <w:rPr>
          <w:rFonts w:ascii="Times New Roman" w:hAnsi="Times New Roman" w:cs="Times New Roman"/>
          <w:color w:val="000000"/>
          <w:sz w:val="24"/>
          <w:szCs w:val="24"/>
          <w:shd w:val="clear" w:color="auto" w:fill="FFFFFF"/>
        </w:rPr>
        <w:t>При наличии нескольких стойких нарушений функций организма человека сначала устанавливается максимально выраженное в процентах нарушение той или иной функции организма человека, после чего определяется наличие (отсутствие) влияния всех других имеющихся стойких нарушений функций организма. При наличии указанного влияния суммарная оценка степени нарушения функции организма в процентном выражении может быть повышена, но не более чем на 10 процентов.</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sidRPr="00A12887">
        <w:rPr>
          <w:rFonts w:ascii="Times New Roman" w:eastAsia="Times New Roman" w:hAnsi="Times New Roman" w:cs="Times New Roman"/>
          <w:color w:val="000000"/>
          <w:sz w:val="24"/>
          <w:szCs w:val="24"/>
          <w:lang w:eastAsia="ru-RU"/>
        </w:rPr>
        <w:t>При этом 3 группа инвалидности будет</w:t>
      </w:r>
      <w:r>
        <w:rPr>
          <w:rFonts w:ascii="Times New Roman" w:eastAsia="Times New Roman" w:hAnsi="Times New Roman" w:cs="Times New Roman"/>
          <w:color w:val="000000"/>
          <w:sz w:val="24"/>
          <w:szCs w:val="24"/>
          <w:lang w:eastAsia="ru-RU"/>
        </w:rPr>
        <w:t xml:space="preserve"> установлена, если во время экспертизы  определено, что степень</w:t>
      </w:r>
      <w:r w:rsidRPr="00C123B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нарушения функции составляет </w:t>
      </w:r>
      <w:r w:rsidRPr="00C123B7">
        <w:rPr>
          <w:rFonts w:ascii="Times New Roman" w:eastAsia="Times New Roman" w:hAnsi="Times New Roman" w:cs="Times New Roman"/>
          <w:color w:val="000000"/>
          <w:sz w:val="24"/>
          <w:szCs w:val="24"/>
          <w:lang w:eastAsia="ru-RU"/>
        </w:rPr>
        <w:t>не менее 40%, а первая 90-100%</w:t>
      </w:r>
      <w:r>
        <w:rPr>
          <w:rFonts w:ascii="Times New Roman" w:eastAsia="Times New Roman" w:hAnsi="Times New Roman" w:cs="Times New Roman"/>
          <w:color w:val="000000"/>
          <w:sz w:val="24"/>
          <w:szCs w:val="24"/>
          <w:lang w:eastAsia="ru-RU"/>
        </w:rPr>
        <w:t xml:space="preserve">. </w:t>
      </w:r>
    </w:p>
    <w:p w:rsidR="002A02A6" w:rsidRDefault="002A02A6" w:rsidP="002A02A6">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Многие наши пациенты недоумевают как же так, заболевание есть, а группы инвалидности нет</w:t>
      </w:r>
      <w:r w:rsidRPr="00855B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Теперь мы надеемся, что гражданам будет понятно, что группа инвалидности может быть не установлена именно потому, что, несмотря на наличие каких-либо заболеваний, даже очень серьезных, таких как, инсульт и  инфаркт, нарушение функции пострадавшего органа или нескольких органов во время проведения медико-социальной экспертизы специалистами бюро оцениваться как незначительное, то есть менее 40%.</w:t>
      </w:r>
      <w:proofErr w:type="gramEnd"/>
    </w:p>
    <w:p w:rsidR="00D81293" w:rsidRDefault="00D81293"/>
    <w:sectPr w:rsidR="00D81293" w:rsidSect="00D812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E333C"/>
    <w:multiLevelType w:val="hybridMultilevel"/>
    <w:tmpl w:val="A51A6318"/>
    <w:lvl w:ilvl="0" w:tplc="FF180188">
      <w:start w:val="1"/>
      <w:numFmt w:val="decimal"/>
      <w:lvlText w:val="%1."/>
      <w:lvlJc w:val="left"/>
      <w:pPr>
        <w:tabs>
          <w:tab w:val="num" w:pos="644"/>
        </w:tabs>
        <w:ind w:left="644" w:hanging="360"/>
      </w:pPr>
    </w:lvl>
    <w:lvl w:ilvl="1" w:tplc="10001456" w:tentative="1">
      <w:start w:val="1"/>
      <w:numFmt w:val="decimal"/>
      <w:lvlText w:val="%2."/>
      <w:lvlJc w:val="left"/>
      <w:pPr>
        <w:tabs>
          <w:tab w:val="num" w:pos="1364"/>
        </w:tabs>
        <w:ind w:left="1364" w:hanging="360"/>
      </w:pPr>
    </w:lvl>
    <w:lvl w:ilvl="2" w:tplc="84DC5262" w:tentative="1">
      <w:start w:val="1"/>
      <w:numFmt w:val="decimal"/>
      <w:lvlText w:val="%3."/>
      <w:lvlJc w:val="left"/>
      <w:pPr>
        <w:tabs>
          <w:tab w:val="num" w:pos="2084"/>
        </w:tabs>
        <w:ind w:left="2084" w:hanging="360"/>
      </w:pPr>
    </w:lvl>
    <w:lvl w:ilvl="3" w:tplc="D64CB936" w:tentative="1">
      <w:start w:val="1"/>
      <w:numFmt w:val="decimal"/>
      <w:lvlText w:val="%4."/>
      <w:lvlJc w:val="left"/>
      <w:pPr>
        <w:tabs>
          <w:tab w:val="num" w:pos="2804"/>
        </w:tabs>
        <w:ind w:left="2804" w:hanging="360"/>
      </w:pPr>
    </w:lvl>
    <w:lvl w:ilvl="4" w:tplc="C60A2466" w:tentative="1">
      <w:start w:val="1"/>
      <w:numFmt w:val="decimal"/>
      <w:lvlText w:val="%5."/>
      <w:lvlJc w:val="left"/>
      <w:pPr>
        <w:tabs>
          <w:tab w:val="num" w:pos="3524"/>
        </w:tabs>
        <w:ind w:left="3524" w:hanging="360"/>
      </w:pPr>
    </w:lvl>
    <w:lvl w:ilvl="5" w:tplc="AB763F5C" w:tentative="1">
      <w:start w:val="1"/>
      <w:numFmt w:val="decimal"/>
      <w:lvlText w:val="%6."/>
      <w:lvlJc w:val="left"/>
      <w:pPr>
        <w:tabs>
          <w:tab w:val="num" w:pos="4244"/>
        </w:tabs>
        <w:ind w:left="4244" w:hanging="360"/>
      </w:pPr>
    </w:lvl>
    <w:lvl w:ilvl="6" w:tplc="2BD03FC8" w:tentative="1">
      <w:start w:val="1"/>
      <w:numFmt w:val="decimal"/>
      <w:lvlText w:val="%7."/>
      <w:lvlJc w:val="left"/>
      <w:pPr>
        <w:tabs>
          <w:tab w:val="num" w:pos="4964"/>
        </w:tabs>
        <w:ind w:left="4964" w:hanging="360"/>
      </w:pPr>
    </w:lvl>
    <w:lvl w:ilvl="7" w:tplc="42286E86" w:tentative="1">
      <w:start w:val="1"/>
      <w:numFmt w:val="decimal"/>
      <w:lvlText w:val="%8."/>
      <w:lvlJc w:val="left"/>
      <w:pPr>
        <w:tabs>
          <w:tab w:val="num" w:pos="5684"/>
        </w:tabs>
        <w:ind w:left="5684" w:hanging="360"/>
      </w:pPr>
    </w:lvl>
    <w:lvl w:ilvl="8" w:tplc="AAFE7474"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2A6"/>
    <w:rsid w:val="002A02A6"/>
    <w:rsid w:val="00A47C11"/>
    <w:rsid w:val="00D81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A6"/>
  </w:style>
  <w:style w:type="paragraph" w:styleId="1">
    <w:name w:val="heading 1"/>
    <w:basedOn w:val="a"/>
    <w:next w:val="a"/>
    <w:link w:val="10"/>
    <w:uiPriority w:val="99"/>
    <w:qFormat/>
    <w:rsid w:val="002A02A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02A6"/>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2A02A6"/>
    <w:pPr>
      <w:ind w:left="720"/>
      <w:contextualSpacing/>
    </w:pPr>
  </w:style>
  <w:style w:type="character" w:customStyle="1" w:styleId="a4">
    <w:name w:val="Гипертекстовая ссылка"/>
    <w:basedOn w:val="a0"/>
    <w:uiPriority w:val="99"/>
    <w:rsid w:val="002A02A6"/>
    <w:rPr>
      <w:rFonts w:cs="Times New Roman"/>
      <w:color w:val="106BBE"/>
    </w:rPr>
  </w:style>
  <w:style w:type="paragraph" w:styleId="a5">
    <w:name w:val="Balloon Text"/>
    <w:basedOn w:val="a"/>
    <w:link w:val="a6"/>
    <w:uiPriority w:val="99"/>
    <w:semiHidden/>
    <w:unhideWhenUsed/>
    <w:rsid w:val="00A47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7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40155653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1086</Words>
  <Characters>6194</Characters>
  <Application>Microsoft Office Word</Application>
  <DocSecurity>0</DocSecurity>
  <Lines>51</Lines>
  <Paragraphs>14</Paragraphs>
  <ScaleCrop>false</ScaleCrop>
  <Company>Microsoft</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3675</dc:creator>
  <cp:lastModifiedBy>3675</cp:lastModifiedBy>
  <cp:revision>2</cp:revision>
  <dcterms:created xsi:type="dcterms:W3CDTF">2023-02-26T14:02:00Z</dcterms:created>
  <dcterms:modified xsi:type="dcterms:W3CDTF">2023-02-26T14:08:00Z</dcterms:modified>
</cp:coreProperties>
</file>